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u w:val="none"/>
          <w:lang w:val="en-US" w:eastAsia="zh-CN"/>
        </w:rPr>
        <w:t>中国史</w:t>
      </w:r>
      <w:r>
        <w:rPr>
          <w:rFonts w:hint="eastAsia" w:ascii="黑体" w:hAnsi="黑体" w:eastAsia="黑体"/>
          <w:sz w:val="32"/>
          <w:szCs w:val="32"/>
        </w:rPr>
        <w:t>博士一级学科学位授权点建设年度报告</w:t>
      </w:r>
    </w:p>
    <w:p>
      <w:pPr>
        <w:jc w:val="center"/>
        <w:rPr>
          <w:rFonts w:ascii="黑体" w:hAnsi="黑体" w:eastAsia="黑体"/>
          <w:sz w:val="32"/>
          <w:szCs w:val="32"/>
        </w:rPr>
      </w:pPr>
      <w:r>
        <w:rPr>
          <w:rFonts w:hint="eastAsia" w:ascii="黑体" w:hAnsi="黑体" w:eastAsia="黑体"/>
          <w:sz w:val="32"/>
          <w:szCs w:val="32"/>
        </w:rPr>
        <w:t>（2020年）</w:t>
      </w:r>
    </w:p>
    <w:p>
      <w:pPr>
        <w:jc w:val="center"/>
        <w:rPr>
          <w:rFonts w:hint="eastAsia" w:asciiTheme="minorEastAsia" w:hAnsiTheme="minorEastAsia"/>
          <w:sz w:val="28"/>
          <w:szCs w:val="28"/>
        </w:rPr>
      </w:pPr>
    </w:p>
    <w:p>
      <w:pPr>
        <w:ind w:firstLine="482" w:firstLineChars="200"/>
        <w:rPr>
          <w:rFonts w:hint="eastAsia" w:ascii="仿宋" w:hAnsi="仿宋" w:eastAsia="仿宋" w:cs="仿宋"/>
          <w:b/>
          <w:sz w:val="24"/>
          <w:szCs w:val="24"/>
        </w:rPr>
      </w:pPr>
      <w:r>
        <w:rPr>
          <w:rFonts w:hint="eastAsia" w:ascii="仿宋" w:hAnsi="仿宋" w:eastAsia="仿宋" w:cs="仿宋"/>
          <w:b/>
          <w:sz w:val="24"/>
          <w:szCs w:val="24"/>
        </w:rPr>
        <w:t>一、学位授权点基本情况</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中国史</w:t>
      </w:r>
      <w:r>
        <w:rPr>
          <w:rFonts w:hint="eastAsia" w:ascii="仿宋" w:hAnsi="仿宋" w:eastAsia="仿宋" w:cs="仿宋"/>
          <w:color w:val="000000"/>
          <w:sz w:val="24"/>
          <w:szCs w:val="24"/>
          <w:lang w:val="en-US" w:eastAsia="zh-CN"/>
        </w:rPr>
        <w:t>学科</w:t>
      </w:r>
      <w:r>
        <w:rPr>
          <w:rFonts w:hint="eastAsia" w:ascii="仿宋" w:hAnsi="仿宋" w:eastAsia="仿宋" w:cs="仿宋"/>
          <w:color w:val="000000"/>
          <w:sz w:val="24"/>
          <w:szCs w:val="24"/>
        </w:rPr>
        <w:t>是山西大学具有悠久历史的品牌学科，享誉海内外。自山西大学1902年建校起就开设了历史课程，迄今已有11</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年的光辉历程。1936年开始设置历史学系，1982年成为国内首批中国古代史、中国近现代史硕士点，2000年成为中国近现代史博士点，2011年获</w:t>
      </w:r>
      <w:r>
        <w:rPr>
          <w:rFonts w:hint="eastAsia" w:ascii="仿宋" w:hAnsi="仿宋" w:eastAsia="仿宋" w:cs="仿宋"/>
          <w:color w:val="000000"/>
          <w:sz w:val="24"/>
          <w:szCs w:val="24"/>
          <w:lang w:val="en-US" w:eastAsia="zh-CN"/>
        </w:rPr>
        <w:t>批</w:t>
      </w:r>
      <w:r>
        <w:rPr>
          <w:rFonts w:hint="eastAsia" w:ascii="仿宋" w:hAnsi="仿宋" w:eastAsia="仿宋" w:cs="仿宋"/>
          <w:color w:val="000000"/>
          <w:sz w:val="24"/>
          <w:szCs w:val="24"/>
        </w:rPr>
        <w:t>中国史一级</w:t>
      </w:r>
      <w:r>
        <w:rPr>
          <w:rFonts w:hint="eastAsia" w:ascii="仿宋" w:hAnsi="仿宋" w:eastAsia="仿宋" w:cs="仿宋"/>
          <w:color w:val="000000"/>
          <w:sz w:val="24"/>
          <w:szCs w:val="24"/>
          <w:lang w:val="en-US" w:eastAsia="zh-CN"/>
        </w:rPr>
        <w:t>学科</w:t>
      </w:r>
      <w:r>
        <w:rPr>
          <w:rFonts w:hint="eastAsia" w:ascii="仿宋" w:hAnsi="仿宋" w:eastAsia="仿宋" w:cs="仿宋"/>
          <w:color w:val="000000"/>
          <w:sz w:val="24"/>
          <w:szCs w:val="24"/>
        </w:rPr>
        <w:t>博士点。</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培养方向</w:t>
      </w:r>
    </w:p>
    <w:p>
      <w:pPr>
        <w:spacing w:line="520" w:lineRule="exact"/>
        <w:ind w:firstLine="480" w:firstLineChars="200"/>
        <w:rPr>
          <w:rFonts w:hint="eastAsia" w:ascii="仿宋" w:hAnsi="仿宋" w:eastAsia="仿宋" w:cs="仿宋"/>
          <w:bCs/>
          <w:sz w:val="24"/>
          <w:szCs w:val="24"/>
        </w:rPr>
      </w:pPr>
      <w:r>
        <w:rPr>
          <w:rFonts w:hint="eastAsia" w:ascii="仿宋" w:hAnsi="仿宋" w:eastAsia="仿宋" w:cs="仿宋"/>
          <w:sz w:val="24"/>
          <w:szCs w:val="24"/>
        </w:rPr>
        <w:t>根据学科传统和现有师资力量，中国史学科重点凝练以下四个学科方向：</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（1）中国近代社会史：</w:t>
      </w:r>
      <w:r>
        <w:rPr>
          <w:rFonts w:hint="eastAsia" w:ascii="仿宋" w:hAnsi="仿宋" w:eastAsia="仿宋" w:cs="仿宋"/>
          <w:color w:val="000000"/>
          <w:sz w:val="24"/>
          <w:szCs w:val="24"/>
        </w:rPr>
        <w:t>该方向顺应整体社会史向区域社会史转向的学术潮流，积极探索区域社会史的理论，开拓区域社会史研究的新领域：以水利问题为切入点，开展人口资源环境史研究；以村庄档案为基础结合田野调查，开展集体化时代乡村社会研究。</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（2）明清社会经济史：</w:t>
      </w:r>
      <w:r>
        <w:rPr>
          <w:rFonts w:hint="eastAsia" w:ascii="仿宋" w:hAnsi="仿宋" w:eastAsia="仿宋" w:cs="仿宋"/>
          <w:color w:val="000000"/>
          <w:sz w:val="24"/>
          <w:szCs w:val="24"/>
        </w:rPr>
        <w:t>该方向重点研究明清时期的传统文献和地方文献及其与地方社会的互动关系。明清时期的山西在全国的经济和社会地位举足轻重，尤其是以晋商为中心的山西商业贸易影响国内外，对此进行深入研究具有得天独厚的地理条件。</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中国古代思想文化史：</w:t>
      </w:r>
      <w:r>
        <w:rPr>
          <w:rFonts w:hint="eastAsia" w:ascii="仿宋" w:hAnsi="仿宋" w:eastAsia="仿宋" w:cs="仿宋"/>
          <w:color w:val="000000"/>
          <w:sz w:val="24"/>
          <w:szCs w:val="24"/>
        </w:rPr>
        <w:t>该方向主要着眼于传统社会的政治和文化挖掘和历史传承。近年来在多个研究领域均有较大推进，诸如在秦汉政治思想的文化解读方面，在传统地域宗教的资料整理和脉络梳理及其政治功能方面等。</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山西历史文化研究：</w:t>
      </w:r>
      <w:r>
        <w:rPr>
          <w:rFonts w:hint="eastAsia" w:ascii="仿宋" w:hAnsi="仿宋" w:eastAsia="仿宋" w:cs="仿宋"/>
          <w:color w:val="000000"/>
          <w:sz w:val="24"/>
          <w:szCs w:val="24"/>
        </w:rPr>
        <w:t>该方向研究重点是中古时代的山西区域社会。该方向的研究有很好的历史积淀和区位优势，近年来相关时期考古领域也有重大发现，在北方民族融合及中西文化交流的研究方面均取得了重要进展。</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师资队伍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中国史学科</w:t>
      </w:r>
      <w:r>
        <w:rPr>
          <w:rFonts w:hint="eastAsia" w:ascii="仿宋" w:hAnsi="仿宋" w:eastAsia="仿宋" w:cs="仿宋"/>
          <w:sz w:val="24"/>
          <w:szCs w:val="24"/>
          <w:lang w:val="en-US" w:eastAsia="zh-CN"/>
        </w:rPr>
        <w:t>现</w:t>
      </w:r>
      <w:r>
        <w:rPr>
          <w:rFonts w:hint="eastAsia" w:ascii="仿宋" w:hAnsi="仿宋" w:eastAsia="仿宋" w:cs="仿宋"/>
          <w:sz w:val="24"/>
          <w:szCs w:val="24"/>
        </w:rPr>
        <w:t>有专职教师</w:t>
      </w:r>
      <w:r>
        <w:rPr>
          <w:rFonts w:hint="eastAsia" w:ascii="仿宋" w:hAnsi="仿宋" w:eastAsia="仿宋" w:cs="仿宋"/>
          <w:sz w:val="24"/>
          <w:szCs w:val="24"/>
          <w:lang w:val="en-US" w:eastAsia="zh-CN"/>
        </w:rPr>
        <w:t>39</w:t>
      </w:r>
      <w:r>
        <w:rPr>
          <w:rFonts w:hint="eastAsia" w:ascii="仿宋" w:hAnsi="仿宋" w:eastAsia="仿宋" w:cs="仿宋"/>
          <w:sz w:val="24"/>
          <w:szCs w:val="24"/>
        </w:rPr>
        <w:t>人，其中教授</w:t>
      </w:r>
      <w:r>
        <w:rPr>
          <w:rFonts w:hint="eastAsia" w:ascii="仿宋" w:hAnsi="仿宋" w:eastAsia="仿宋" w:cs="仿宋"/>
          <w:sz w:val="24"/>
          <w:szCs w:val="24"/>
          <w:lang w:val="en-US" w:eastAsia="zh-CN"/>
        </w:rPr>
        <w:t>14</w:t>
      </w:r>
      <w:r>
        <w:rPr>
          <w:rFonts w:hint="eastAsia" w:ascii="仿宋" w:hAnsi="仿宋" w:eastAsia="仿宋" w:cs="仿宋"/>
          <w:sz w:val="24"/>
          <w:szCs w:val="24"/>
        </w:rPr>
        <w:t>人，副教授</w:t>
      </w:r>
      <w:r>
        <w:rPr>
          <w:rFonts w:hint="eastAsia" w:ascii="仿宋" w:hAnsi="仿宋" w:eastAsia="仿宋" w:cs="仿宋"/>
          <w:sz w:val="24"/>
          <w:szCs w:val="24"/>
          <w:lang w:val="en-US" w:eastAsia="zh-CN"/>
        </w:rPr>
        <w:t>7</w:t>
      </w:r>
      <w:r>
        <w:rPr>
          <w:rFonts w:hint="eastAsia" w:ascii="仿宋" w:hAnsi="仿宋" w:eastAsia="仿宋" w:cs="仿宋"/>
          <w:sz w:val="24"/>
          <w:szCs w:val="24"/>
        </w:rPr>
        <w:t>人，讲师</w:t>
      </w:r>
      <w:r>
        <w:rPr>
          <w:rFonts w:hint="eastAsia" w:ascii="仿宋" w:hAnsi="仿宋" w:eastAsia="仿宋" w:cs="仿宋"/>
          <w:sz w:val="24"/>
          <w:szCs w:val="24"/>
          <w:lang w:val="en-US" w:eastAsia="zh-CN"/>
        </w:rPr>
        <w:t>18</w:t>
      </w:r>
      <w:r>
        <w:rPr>
          <w:rFonts w:hint="eastAsia" w:ascii="仿宋" w:hAnsi="仿宋" w:eastAsia="仿宋" w:cs="仿宋"/>
          <w:sz w:val="24"/>
          <w:szCs w:val="24"/>
        </w:rPr>
        <w:t>人。博士生导师</w:t>
      </w:r>
      <w:r>
        <w:rPr>
          <w:rFonts w:hint="eastAsia" w:ascii="仿宋" w:hAnsi="仿宋" w:eastAsia="仿宋" w:cs="仿宋"/>
          <w:sz w:val="24"/>
          <w:szCs w:val="24"/>
          <w:lang w:val="en-US" w:eastAsia="zh-CN"/>
        </w:rPr>
        <w:t>12</w:t>
      </w:r>
      <w:r>
        <w:rPr>
          <w:rFonts w:hint="eastAsia" w:ascii="仿宋" w:hAnsi="仿宋" w:eastAsia="仿宋" w:cs="仿宋"/>
          <w:sz w:val="24"/>
          <w:szCs w:val="24"/>
        </w:rPr>
        <w:t>人，硕士生导师29人。专职教师中有国务院特殊津贴专家2人</w:t>
      </w:r>
      <w:r>
        <w:rPr>
          <w:rFonts w:hint="eastAsia" w:ascii="仿宋" w:hAnsi="仿宋" w:eastAsia="仿宋" w:cs="仿宋"/>
          <w:sz w:val="24"/>
          <w:szCs w:val="24"/>
          <w:lang w:eastAsia="zh-CN"/>
        </w:rPr>
        <w:t>，</w:t>
      </w:r>
      <w:r>
        <w:rPr>
          <w:rFonts w:hint="eastAsia" w:ascii="仿宋" w:hAnsi="仿宋" w:eastAsia="仿宋" w:cs="仿宋"/>
          <w:sz w:val="24"/>
          <w:szCs w:val="24"/>
        </w:rPr>
        <w:t>教育部青年长江学者1人，教育部新世纪优秀人才</w:t>
      </w:r>
      <w:r>
        <w:rPr>
          <w:rFonts w:hint="eastAsia" w:ascii="仿宋" w:hAnsi="仿宋" w:eastAsia="仿宋" w:cs="仿宋"/>
          <w:sz w:val="24"/>
          <w:szCs w:val="24"/>
          <w:lang w:val="en-US" w:eastAsia="zh-CN"/>
        </w:rPr>
        <w:t>3</w:t>
      </w:r>
      <w:r>
        <w:rPr>
          <w:rFonts w:hint="eastAsia" w:ascii="仿宋" w:hAnsi="仿宋" w:eastAsia="仿宋" w:cs="仿宋"/>
          <w:sz w:val="24"/>
          <w:szCs w:val="24"/>
        </w:rPr>
        <w:t>人</w:t>
      </w:r>
      <w:r>
        <w:rPr>
          <w:rFonts w:hint="eastAsia" w:ascii="仿宋" w:hAnsi="仿宋" w:eastAsia="仿宋" w:cs="仿宋"/>
          <w:sz w:val="24"/>
          <w:szCs w:val="24"/>
          <w:lang w:eastAsia="zh-CN"/>
        </w:rPr>
        <w:t>，</w:t>
      </w:r>
      <w:r>
        <w:rPr>
          <w:rFonts w:hint="eastAsia" w:ascii="仿宋" w:hAnsi="仿宋" w:eastAsia="仿宋" w:cs="仿宋"/>
          <w:sz w:val="24"/>
          <w:szCs w:val="24"/>
        </w:rPr>
        <w:t>各类三晋英才22</w:t>
      </w:r>
      <w:r>
        <w:rPr>
          <w:rFonts w:hint="eastAsia" w:ascii="仿宋" w:hAnsi="仿宋" w:eastAsia="仿宋" w:cs="仿宋"/>
          <w:sz w:val="24"/>
          <w:szCs w:val="24"/>
          <w:lang w:val="en-US" w:eastAsia="zh-CN"/>
        </w:rPr>
        <w:t>人</w:t>
      </w:r>
      <w:r>
        <w:rPr>
          <w:rFonts w:hint="eastAsia" w:ascii="仿宋" w:hAnsi="仿宋" w:eastAsia="仿宋" w:cs="仿宋"/>
          <w:sz w:val="24"/>
          <w:szCs w:val="24"/>
        </w:rPr>
        <w:t>。</w:t>
      </w:r>
    </w:p>
    <w:p>
      <w:pPr>
        <w:spacing w:line="520" w:lineRule="exact"/>
        <w:ind w:firstLine="480" w:firstLineChars="200"/>
        <w:rPr>
          <w:rFonts w:hint="eastAsia" w:ascii="仿宋" w:hAnsi="仿宋" w:eastAsia="仿宋" w:cs="仿宋"/>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522" w:type="dxa"/>
            <w:gridSpan w:val="11"/>
          </w:tcPr>
          <w:p>
            <w:pPr>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专任教师队伍结构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专业技术职务</w:t>
            </w:r>
          </w:p>
        </w:tc>
        <w:tc>
          <w:tcPr>
            <w:tcW w:w="774" w:type="dxa"/>
            <w:vAlign w:val="center"/>
          </w:tcPr>
          <w:p>
            <w:pPr>
              <w:widowControl/>
              <w:adjustRightInd w:val="0"/>
              <w:snapToGrid w:val="0"/>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合计</w:t>
            </w:r>
          </w:p>
        </w:tc>
        <w:tc>
          <w:tcPr>
            <w:tcW w:w="774" w:type="dxa"/>
            <w:vAlign w:val="center"/>
          </w:tcPr>
          <w:p>
            <w:pPr>
              <w:widowControl/>
              <w:adjustRightInd w:val="0"/>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35岁</w:t>
            </w:r>
          </w:p>
          <w:p>
            <w:pPr>
              <w:adjustRightInd w:val="0"/>
              <w:snapToGrid w:val="0"/>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及以下</w:t>
            </w:r>
          </w:p>
        </w:tc>
        <w:tc>
          <w:tcPr>
            <w:tcW w:w="775" w:type="dxa"/>
            <w:vAlign w:val="center"/>
          </w:tcPr>
          <w:p>
            <w:pPr>
              <w:widowControl/>
              <w:adjustRightInd w:val="0"/>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36至</w:t>
            </w:r>
          </w:p>
          <w:p>
            <w:pPr>
              <w:adjustRightInd w:val="0"/>
              <w:snapToGrid w:val="0"/>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45岁</w:t>
            </w:r>
          </w:p>
        </w:tc>
        <w:tc>
          <w:tcPr>
            <w:tcW w:w="775" w:type="dxa"/>
            <w:vAlign w:val="center"/>
          </w:tcPr>
          <w:p>
            <w:pPr>
              <w:widowControl/>
              <w:adjustRightInd w:val="0"/>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46至</w:t>
            </w:r>
          </w:p>
          <w:p>
            <w:pPr>
              <w:adjustRightInd w:val="0"/>
              <w:snapToGrid w:val="0"/>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55岁</w:t>
            </w:r>
          </w:p>
        </w:tc>
        <w:tc>
          <w:tcPr>
            <w:tcW w:w="775" w:type="dxa"/>
            <w:vAlign w:val="center"/>
          </w:tcPr>
          <w:p>
            <w:pPr>
              <w:widowControl/>
              <w:adjustRightInd w:val="0"/>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56至</w:t>
            </w:r>
          </w:p>
          <w:p>
            <w:pPr>
              <w:adjustRightInd w:val="0"/>
              <w:snapToGrid w:val="0"/>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60岁</w:t>
            </w:r>
          </w:p>
        </w:tc>
        <w:tc>
          <w:tcPr>
            <w:tcW w:w="775" w:type="dxa"/>
            <w:vAlign w:val="center"/>
          </w:tcPr>
          <w:p>
            <w:pPr>
              <w:widowControl/>
              <w:adjustRightInd w:val="0"/>
              <w:snapToGrid w:val="0"/>
              <w:jc w:val="center"/>
              <w:rPr>
                <w:rFonts w:hint="eastAsia" w:ascii="仿宋" w:hAnsi="仿宋" w:eastAsia="仿宋" w:cs="仿宋"/>
                <w:b w:val="0"/>
                <w:bCs/>
                <w:sz w:val="24"/>
                <w:szCs w:val="24"/>
              </w:rPr>
            </w:pPr>
            <w:r>
              <w:rPr>
                <w:rFonts w:hint="eastAsia" w:ascii="仿宋" w:hAnsi="仿宋" w:eastAsia="仿宋" w:cs="仿宋"/>
                <w:b w:val="0"/>
                <w:bCs/>
                <w:sz w:val="24"/>
                <w:szCs w:val="24"/>
              </w:rPr>
              <w:t>61岁</w:t>
            </w:r>
          </w:p>
          <w:p>
            <w:pPr>
              <w:adjustRightInd w:val="0"/>
              <w:snapToGrid w:val="0"/>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sz w:val="24"/>
                <w:szCs w:val="24"/>
              </w:rPr>
              <w:t>及以上</w:t>
            </w:r>
          </w:p>
        </w:tc>
        <w:tc>
          <w:tcPr>
            <w:tcW w:w="775" w:type="dxa"/>
            <w:vAlign w:val="center"/>
          </w:tcPr>
          <w:p>
            <w:pPr>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博士学位人数</w:t>
            </w:r>
          </w:p>
        </w:tc>
        <w:tc>
          <w:tcPr>
            <w:tcW w:w="775" w:type="dxa"/>
            <w:vAlign w:val="center"/>
          </w:tcPr>
          <w:p>
            <w:pPr>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具有境外经历人数</w:t>
            </w:r>
          </w:p>
        </w:tc>
        <w:tc>
          <w:tcPr>
            <w:tcW w:w="775" w:type="dxa"/>
            <w:vAlign w:val="center"/>
          </w:tcPr>
          <w:p>
            <w:pPr>
              <w:widowControl/>
              <w:adjustRightInd w:val="0"/>
              <w:snapToGrid w:val="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博导</w:t>
            </w:r>
          </w:p>
          <w:p>
            <w:pPr>
              <w:widowControl/>
              <w:adjustRightInd w:val="0"/>
              <w:snapToGrid w:val="0"/>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人数</w:t>
            </w:r>
          </w:p>
        </w:tc>
        <w:tc>
          <w:tcPr>
            <w:tcW w:w="775" w:type="dxa"/>
            <w:vAlign w:val="center"/>
          </w:tcPr>
          <w:p>
            <w:pPr>
              <w:widowControl/>
              <w:adjustRightInd w:val="0"/>
              <w:snapToGrid w:val="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硕导</w:t>
            </w:r>
          </w:p>
          <w:p>
            <w:pPr>
              <w:widowControl/>
              <w:adjustRightInd w:val="0"/>
              <w:snapToGrid w:val="0"/>
              <w:jc w:val="center"/>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0"/>
                <w:sz w:val="24"/>
                <w:szCs w:val="24"/>
              </w:rPr>
              <w:t>正高级</w:t>
            </w:r>
          </w:p>
        </w:tc>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4</w:t>
            </w:r>
          </w:p>
        </w:tc>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7</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6</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1</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4</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5</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12</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0"/>
                <w:sz w:val="24"/>
                <w:szCs w:val="24"/>
              </w:rPr>
              <w:t>副高级</w:t>
            </w:r>
          </w:p>
        </w:tc>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7</w:t>
            </w:r>
          </w:p>
        </w:tc>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7</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7</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1</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widowControl/>
              <w:adjustRightInd w:val="0"/>
              <w:snapToGrid w:val="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其他</w:t>
            </w:r>
          </w:p>
          <w:p>
            <w:pPr>
              <w:widowControl/>
              <w:adjustRightInd w:val="0"/>
              <w:snapToGrid w:val="0"/>
              <w:jc w:val="center"/>
              <w:rPr>
                <w:rFonts w:hint="eastAsia" w:ascii="仿宋" w:hAnsi="仿宋" w:eastAsia="仿宋" w:cs="仿宋"/>
                <w:b w:val="0"/>
                <w:bCs/>
                <w:kern w:val="0"/>
                <w:sz w:val="24"/>
                <w:szCs w:val="24"/>
                <w:lang w:val="en-US" w:eastAsia="zh-CN"/>
              </w:rPr>
            </w:pPr>
          </w:p>
        </w:tc>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18</w:t>
            </w:r>
          </w:p>
        </w:tc>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9</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7</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2</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18</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widowControl/>
              <w:adjustRightInd w:val="0"/>
              <w:snapToGrid w:val="0"/>
              <w:jc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总计</w:t>
            </w:r>
          </w:p>
          <w:p>
            <w:pPr>
              <w:widowControl/>
              <w:adjustRightInd w:val="0"/>
              <w:snapToGrid w:val="0"/>
              <w:jc w:val="center"/>
              <w:rPr>
                <w:rFonts w:hint="eastAsia" w:ascii="仿宋" w:hAnsi="仿宋" w:eastAsia="仿宋" w:cs="仿宋"/>
                <w:b w:val="0"/>
                <w:bCs/>
                <w:kern w:val="0"/>
                <w:sz w:val="24"/>
                <w:szCs w:val="24"/>
                <w:lang w:val="en-US" w:eastAsia="zh-CN"/>
              </w:rPr>
            </w:pPr>
          </w:p>
        </w:tc>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39</w:t>
            </w:r>
          </w:p>
        </w:tc>
        <w:tc>
          <w:tcPr>
            <w:tcW w:w="774"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9</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21</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8</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0</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1</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39</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6</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12</w:t>
            </w:r>
          </w:p>
        </w:tc>
        <w:tc>
          <w:tcPr>
            <w:tcW w:w="775" w:type="dxa"/>
            <w:vAlign w:val="center"/>
          </w:tcPr>
          <w:p>
            <w:pPr>
              <w:widowControl/>
              <w:adjustRightInd w:val="0"/>
              <w:snapToGrid w:val="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29</w:t>
            </w:r>
          </w:p>
        </w:tc>
      </w:tr>
    </w:tbl>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科学研究</w:t>
      </w:r>
    </w:p>
    <w:p>
      <w:pPr>
        <w:spacing w:line="5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2020年</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中国史</w:t>
      </w:r>
      <w:r>
        <w:rPr>
          <w:rFonts w:hint="eastAsia" w:ascii="仿宋" w:hAnsi="仿宋" w:eastAsia="仿宋" w:cs="仿宋"/>
          <w:color w:val="auto"/>
          <w:sz w:val="24"/>
          <w:szCs w:val="24"/>
        </w:rPr>
        <w:t>学科共</w:t>
      </w:r>
      <w:r>
        <w:rPr>
          <w:rFonts w:hint="eastAsia" w:ascii="仿宋" w:hAnsi="仿宋" w:eastAsia="仿宋" w:cs="仿宋"/>
          <w:color w:val="auto"/>
          <w:sz w:val="24"/>
          <w:szCs w:val="24"/>
          <w:lang w:val="en-US" w:eastAsia="zh-CN"/>
        </w:rPr>
        <w:t>发表文章CSSCI文章40余篇，其中高水平文章10篇。出版专著10部。申请各类项目30余项，其中国家社科基金资助项目5项（包含重大项目1项）。</w:t>
      </w:r>
      <w:r>
        <w:rPr>
          <w:rFonts w:hint="eastAsia" w:ascii="仿宋" w:hAnsi="仿宋" w:eastAsia="仿宋" w:cs="仿宋"/>
          <w:color w:val="auto"/>
          <w:sz w:val="24"/>
          <w:szCs w:val="24"/>
        </w:rPr>
        <w:t>获得省级以上各类科研奖项</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项，其中教育部人文社科优秀成果三等奖</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山西省社会科研究优秀成果二等奖1项，三等奖2项</w:t>
      </w:r>
      <w:r>
        <w:rPr>
          <w:rFonts w:hint="eastAsia" w:ascii="仿宋" w:hAnsi="仿宋" w:eastAsia="仿宋" w:cs="仿宋"/>
          <w:color w:val="auto"/>
          <w:sz w:val="24"/>
          <w:szCs w:val="24"/>
        </w:rPr>
        <w:t>。</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教学科研支撑条件</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中国史学科</w:t>
      </w:r>
      <w:r>
        <w:rPr>
          <w:rFonts w:hint="eastAsia" w:ascii="仿宋" w:hAnsi="仿宋" w:eastAsia="仿宋" w:cs="仿宋"/>
          <w:color w:val="000000"/>
          <w:sz w:val="24"/>
          <w:szCs w:val="24"/>
          <w:lang w:val="en-US" w:eastAsia="zh-CN"/>
        </w:rPr>
        <w:t>现有两个</w:t>
      </w:r>
      <w:r>
        <w:rPr>
          <w:rFonts w:hint="eastAsia" w:ascii="仿宋" w:hAnsi="仿宋" w:eastAsia="仿宋" w:cs="仿宋"/>
          <w:color w:val="000000"/>
          <w:sz w:val="24"/>
          <w:szCs w:val="24"/>
        </w:rPr>
        <w:t>省级科研平台，分别是区域社会史研究中心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长城文化生态研究院</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其中区域</w:t>
      </w:r>
      <w:r>
        <w:rPr>
          <w:rFonts w:hint="eastAsia" w:ascii="仿宋" w:hAnsi="仿宋" w:eastAsia="仿宋" w:cs="仿宋"/>
          <w:color w:val="000000"/>
          <w:sz w:val="24"/>
          <w:szCs w:val="24"/>
        </w:rPr>
        <w:t>社会史研究中心成立于1992年，2004年被确定为山西省人文社科重点研究基地。中心长期开展中国社会史理论与实证研究，是国内最早开展中国近代社会史和区域社会史研究的单位之一，被誉为中国社会史研究的三大重镇之一。</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学院、社会史中心资料室目前藏书30万册，特色农村档案近千万件，家谱契约等民间文献十余万件。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572"/>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jc w:val="center"/>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支撑平台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ind w:left="-105" w:leftChars="-50" w:right="-105" w:rightChars="-5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序号</w:t>
            </w:r>
          </w:p>
        </w:tc>
        <w:tc>
          <w:tcPr>
            <w:tcW w:w="2572"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平台类别</w:t>
            </w:r>
          </w:p>
        </w:tc>
        <w:tc>
          <w:tcPr>
            <w:tcW w:w="1704"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平台名称</w:t>
            </w:r>
          </w:p>
        </w:tc>
        <w:tc>
          <w:tcPr>
            <w:tcW w:w="1705"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批准部门</w:t>
            </w:r>
          </w:p>
        </w:tc>
        <w:tc>
          <w:tcPr>
            <w:tcW w:w="1705"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批准年度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spacing w:line="5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572"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山西省人文社科重点研究基地</w:t>
            </w:r>
          </w:p>
        </w:tc>
        <w:tc>
          <w:tcPr>
            <w:tcW w:w="1704"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区域社会史研究中心</w:t>
            </w:r>
          </w:p>
        </w:tc>
        <w:tc>
          <w:tcPr>
            <w:tcW w:w="1705"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山西省教育厅</w:t>
            </w:r>
          </w:p>
        </w:tc>
        <w:tc>
          <w:tcPr>
            <w:tcW w:w="1705"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200411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spacing w:line="5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572"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山西省人文社科重点研究基地</w:t>
            </w:r>
          </w:p>
        </w:tc>
        <w:tc>
          <w:tcPr>
            <w:tcW w:w="1704"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长城文化生态研究院</w:t>
            </w:r>
          </w:p>
        </w:tc>
        <w:tc>
          <w:tcPr>
            <w:tcW w:w="1705"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山西省教育厅</w:t>
            </w:r>
          </w:p>
        </w:tc>
        <w:tc>
          <w:tcPr>
            <w:tcW w:w="1705" w:type="dxa"/>
            <w:vAlign w:val="center"/>
          </w:tcPr>
          <w:p>
            <w:pPr>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202009</w:t>
            </w:r>
          </w:p>
        </w:tc>
      </w:tr>
    </w:tbl>
    <w:p>
      <w:pPr>
        <w:spacing w:line="520" w:lineRule="exact"/>
        <w:ind w:firstLine="482" w:firstLineChars="200"/>
        <w:rPr>
          <w:rFonts w:hint="eastAsia" w:ascii="仿宋" w:hAnsi="仿宋" w:eastAsia="仿宋" w:cs="仿宋"/>
          <w:b/>
          <w:sz w:val="24"/>
          <w:szCs w:val="24"/>
        </w:rPr>
      </w:pPr>
    </w:p>
    <w:p>
      <w:pPr>
        <w:spacing w:line="52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二、2020年建设取得的成绩</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制度建设</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学校对《山西大学研究生学籍管理规定》、《山西大学研究生教务管理工作规定》、《山西大学研究生日常行为规则》、《山西大学研究生违纪处分实施细则》等规定进行了修订，同时新制订《山西大学创新实践学分管理办法》、《山西大学研究生诚信教育实施办法》、《山西大学研究生中期考核及分流淘汰管理办法》、《山西大学研究生申诉处理暂行办法》，进一步推进依法治校，全面尊重和保障研究生的相关权益。</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导师队伍建设（导师评聘、师德师风、导师指导等）</w:t>
      </w:r>
    </w:p>
    <w:p>
      <w:pPr>
        <w:spacing w:line="520" w:lineRule="exact"/>
        <w:ind w:firstLine="482" w:firstLineChars="200"/>
        <w:rPr>
          <w:rFonts w:hint="eastAsia" w:ascii="仿宋" w:hAnsi="仿宋" w:eastAsia="仿宋" w:cs="仿宋"/>
          <w:b w:val="0"/>
          <w:bCs w:val="0"/>
          <w:sz w:val="24"/>
          <w:szCs w:val="24"/>
          <w:lang w:val="en-US" w:eastAsia="zh-CN"/>
        </w:rPr>
      </w:pPr>
      <w:r>
        <w:rPr>
          <w:rFonts w:hint="eastAsia" w:ascii="仿宋" w:hAnsi="仿宋" w:eastAsia="仿宋" w:cs="仿宋"/>
          <w:b/>
          <w:bCs/>
          <w:sz w:val="24"/>
          <w:szCs w:val="24"/>
        </w:rPr>
        <w:t>导师评聘</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按照学校要求，推动选聘分离，打破导师终身制，引入竞争机制，实行导师招生资格年度审核制度，进一步明确审核条件，动态调整导师招生资格和招生指标，明确在读研究生和招生计划封顶制度和跨学科指导研究生条件，实施高端人才招生计划奖励政策；强化新聘导师的培训制度，有效激发导师的工作积极性、主动性，保障了研究生培养质量。2020年中国史学科评聘博士生导师3人，硕士生导师3人。</w:t>
      </w:r>
    </w:p>
    <w:p>
      <w:pPr>
        <w:spacing w:line="520" w:lineRule="exact"/>
        <w:ind w:firstLine="482" w:firstLineChars="200"/>
        <w:rPr>
          <w:rFonts w:hint="eastAsia" w:ascii="仿宋" w:hAnsi="仿宋" w:eastAsia="仿宋" w:cs="仿宋"/>
          <w:bCs/>
          <w:sz w:val="24"/>
          <w:szCs w:val="24"/>
        </w:rPr>
      </w:pPr>
      <w:r>
        <w:rPr>
          <w:rFonts w:hint="eastAsia" w:ascii="仿宋" w:hAnsi="仿宋" w:eastAsia="仿宋" w:cs="仿宋"/>
          <w:b/>
          <w:bCs/>
          <w:sz w:val="24"/>
          <w:szCs w:val="24"/>
        </w:rPr>
        <w:t>师德师风</w:t>
      </w:r>
      <w:r>
        <w:rPr>
          <w:rFonts w:hint="eastAsia" w:ascii="仿宋" w:hAnsi="仿宋" w:eastAsia="仿宋" w:cs="仿宋"/>
          <w:b/>
          <w:bCs/>
          <w:sz w:val="24"/>
          <w:szCs w:val="24"/>
          <w:lang w:eastAsia="zh-CN"/>
        </w:rPr>
        <w:t>：</w:t>
      </w:r>
      <w:r>
        <w:rPr>
          <w:rFonts w:hint="eastAsia" w:ascii="仿宋" w:hAnsi="仿宋" w:eastAsia="仿宋" w:cs="仿宋"/>
          <w:bCs/>
          <w:sz w:val="24"/>
          <w:szCs w:val="24"/>
        </w:rPr>
        <w:t>学院在学术委员会指导下，设有师德师风建设领导组，健全了“党委统一领导、党政齐抓共管”的工作机制。将师德师风与党建、意识形态、思政教育有机结合，发挥本学科优势，从历史中发掘思政育人特色案例，引导师生践行社会主义核心价值观，并将其融入教育教学全过程。从思想、环境、网络、课堂、课余五个方面构建学科文化氛围，营造良好师德师风人文环境。充分发挥山西省爱国主义教育基地在</w:t>
      </w:r>
      <w:r>
        <w:rPr>
          <w:rFonts w:hint="eastAsia" w:ascii="仿宋" w:hAnsi="仿宋" w:eastAsia="仿宋" w:cs="仿宋"/>
          <w:sz w:val="24"/>
          <w:szCs w:val="24"/>
        </w:rPr>
        <w:t>党史国史教育、红色革命文化、传统文化教育等方面的作用</w:t>
      </w:r>
      <w:r>
        <w:rPr>
          <w:rFonts w:hint="eastAsia" w:ascii="仿宋" w:hAnsi="仿宋" w:eastAsia="仿宋" w:cs="仿宋"/>
          <w:bCs/>
          <w:sz w:val="24"/>
          <w:szCs w:val="24"/>
        </w:rPr>
        <w:t>，积极开展主题党日等活动，引导教师树立教书育人的坚定信念。</w:t>
      </w:r>
      <w:r>
        <w:rPr>
          <w:rFonts w:hint="eastAsia" w:ascii="仿宋" w:hAnsi="仿宋" w:eastAsia="仿宋" w:cs="仿宋"/>
          <w:bCs/>
          <w:sz w:val="24"/>
          <w:szCs w:val="24"/>
          <w:lang w:val="en-US" w:eastAsia="zh-CN"/>
        </w:rPr>
        <w:t>2020年本学科有</w:t>
      </w:r>
      <w:r>
        <w:rPr>
          <w:rFonts w:hint="eastAsia" w:ascii="仿宋" w:hAnsi="仿宋" w:eastAsia="仿宋" w:cs="仿宋"/>
          <w:bCs/>
          <w:sz w:val="24"/>
          <w:szCs w:val="24"/>
        </w:rPr>
        <w:t>2</w:t>
      </w:r>
      <w:r>
        <w:rPr>
          <w:rFonts w:hint="eastAsia" w:ascii="仿宋" w:hAnsi="仿宋" w:eastAsia="仿宋" w:cs="仿宋"/>
          <w:bCs/>
          <w:sz w:val="24"/>
          <w:szCs w:val="24"/>
          <w:lang w:val="en-US" w:eastAsia="zh-CN"/>
        </w:rPr>
        <w:t>名</w:t>
      </w:r>
      <w:r>
        <w:rPr>
          <w:rFonts w:hint="eastAsia" w:ascii="仿宋" w:hAnsi="仿宋" w:eastAsia="仿宋" w:cs="仿宋"/>
          <w:bCs/>
          <w:sz w:val="24"/>
          <w:szCs w:val="24"/>
        </w:rPr>
        <w:t>教师获山西大学教书育人“十佳模范标兵</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称号</w:t>
      </w:r>
      <w:r>
        <w:rPr>
          <w:rFonts w:hint="eastAsia" w:ascii="仿宋" w:hAnsi="仿宋" w:eastAsia="仿宋" w:cs="仿宋"/>
          <w:bCs/>
          <w:sz w:val="24"/>
          <w:szCs w:val="24"/>
        </w:rPr>
        <w:t>。</w:t>
      </w:r>
    </w:p>
    <w:p>
      <w:pPr>
        <w:spacing w:line="520" w:lineRule="exact"/>
        <w:ind w:firstLine="482" w:firstLineChars="200"/>
        <w:rPr>
          <w:rFonts w:hint="eastAsia" w:ascii="仿宋" w:hAnsi="仿宋" w:eastAsia="仿宋" w:cs="仿宋"/>
          <w:color w:val="000000"/>
          <w:sz w:val="24"/>
          <w:szCs w:val="24"/>
        </w:rPr>
      </w:pPr>
      <w:r>
        <w:rPr>
          <w:rFonts w:hint="eastAsia" w:ascii="仿宋" w:hAnsi="仿宋" w:eastAsia="仿宋" w:cs="仿宋"/>
          <w:b/>
          <w:bCs/>
          <w:sz w:val="24"/>
          <w:szCs w:val="24"/>
        </w:rPr>
        <w:t>导师指导</w:t>
      </w:r>
      <w:r>
        <w:rPr>
          <w:rFonts w:hint="eastAsia" w:ascii="仿宋" w:hAnsi="仿宋" w:eastAsia="仿宋" w:cs="仿宋"/>
          <w:b/>
          <w:bCs/>
          <w:sz w:val="24"/>
          <w:szCs w:val="24"/>
          <w:lang w:eastAsia="zh-CN"/>
        </w:rPr>
        <w:t>：</w:t>
      </w:r>
      <w:r>
        <w:rPr>
          <w:rFonts w:hint="eastAsia" w:ascii="仿宋" w:hAnsi="仿宋" w:eastAsia="仿宋" w:cs="仿宋"/>
          <w:color w:val="000000"/>
          <w:sz w:val="24"/>
          <w:szCs w:val="24"/>
        </w:rPr>
        <w:t>（1）学术方面：导师全面负责所指导研究生的学术成长，研究生入学之初，导师应给所指导研究生开列专业书目。导师对研究生学位论文的选题、论著阅读、资料搜集、田野调查、论文撰写、答辩应负起直接的指导之责。（2）道德方面：导师应要求研究生高度重视学术道德，严守道德底线，杜绝学术不端行为，做到不抄袭、不一稿多投、不数据造假、不购买论文等，形成敬畏学术、诚信为学的良好品质。（3）管理方面：导师有责任要求所指导的研究生遵守法律、遵守学校的各项规章制度、遵守学院的相关规定；研究生如有事离校，首先应向各自导师请假，然后再向研究生班主任请假。师生之间应执行每周至少见面一次的规定。</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研究生招生</w:t>
      </w:r>
    </w:p>
    <w:p>
      <w:pPr>
        <w:spacing w:line="52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学院积极应对国家政策调整，推进研究生“生源质量保障”工程，相继出台了鼓励优秀本科生和硕士生通过推免、硕博连读的方式继续在本校深造的一系列专项奖学金政策，严格导师招生资格审核和复试督查制度，在地方高校普遍面临严峻形势的情况下，稳定和提高了生源质量。</w:t>
      </w:r>
      <w:r>
        <w:rPr>
          <w:rFonts w:hint="eastAsia" w:ascii="仿宋" w:hAnsi="仿宋" w:eastAsia="仿宋" w:cs="仿宋"/>
          <w:color w:val="000000"/>
          <w:sz w:val="24"/>
          <w:szCs w:val="24"/>
          <w:lang w:val="en-US" w:eastAsia="zh-CN"/>
        </w:rPr>
        <w:t>2020年中国史学科共招收博士生6名，硕士生46名。</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研究生培养（思政教育、课程教学、学术训练、学术交流、论文质量、学风建设等）</w:t>
      </w:r>
    </w:p>
    <w:p>
      <w:pPr>
        <w:spacing w:line="520" w:lineRule="exact"/>
        <w:ind w:firstLine="482" w:firstLineChars="200"/>
        <w:rPr>
          <w:rFonts w:hint="eastAsia" w:ascii="仿宋" w:hAnsi="仿宋" w:eastAsia="仿宋" w:cs="仿宋"/>
          <w:bCs/>
          <w:sz w:val="24"/>
          <w:szCs w:val="24"/>
        </w:rPr>
      </w:pPr>
      <w:r>
        <w:rPr>
          <w:rFonts w:hint="eastAsia" w:ascii="仿宋" w:hAnsi="仿宋" w:eastAsia="仿宋" w:cs="仿宋"/>
          <w:b/>
          <w:bCs/>
          <w:sz w:val="24"/>
          <w:szCs w:val="24"/>
        </w:rPr>
        <w:t>思政教育</w:t>
      </w:r>
      <w:r>
        <w:rPr>
          <w:rFonts w:hint="eastAsia" w:ascii="仿宋" w:hAnsi="仿宋" w:eastAsia="仿宋" w:cs="仿宋"/>
          <w:b/>
          <w:bCs/>
          <w:sz w:val="24"/>
          <w:szCs w:val="24"/>
          <w:lang w:eastAsia="zh-CN"/>
        </w:rPr>
        <w:t>：</w:t>
      </w:r>
      <w:r>
        <w:rPr>
          <w:rFonts w:hint="eastAsia" w:ascii="仿宋" w:hAnsi="仿宋" w:eastAsia="仿宋" w:cs="仿宋"/>
          <w:bCs/>
          <w:sz w:val="24"/>
          <w:szCs w:val="24"/>
        </w:rPr>
        <w:t>学科所在学院党委高度重视基层党组织建设，以党的领导作为根本政治保证，顺应学科建设需求，确保党的组织与学术组织建设同步一体，同向发力，确保学科和专业实现党组织全覆盖，强化党建的服务保障作用，以党的政治建设为统领，不断提高学科建设工作水平。将新时代中国特色社会主义思想贯穿于学生思想教育当中，将思政教育融入到专业课堂中，将思政教育与新生入学教育、安全教育、毕业生文明离校教育、学术诚信教育、心理健康教育等日常工作相结合，开展主题演讲、征文、学术讲座、座谈沙龙、风采展示等多种活动，教育引导学生从自身做起，在学习生活中培育和践行社会主义核心价值观。</w:t>
      </w:r>
    </w:p>
    <w:p>
      <w:pPr>
        <w:spacing w:line="520" w:lineRule="exact"/>
        <w:ind w:firstLine="482" w:firstLineChars="200"/>
        <w:rPr>
          <w:rFonts w:hint="eastAsia" w:ascii="仿宋" w:hAnsi="仿宋" w:eastAsia="仿宋" w:cs="仿宋"/>
          <w:color w:val="000000"/>
          <w:sz w:val="24"/>
          <w:szCs w:val="24"/>
        </w:rPr>
      </w:pPr>
      <w:r>
        <w:rPr>
          <w:rFonts w:hint="eastAsia" w:ascii="仿宋" w:hAnsi="仿宋" w:eastAsia="仿宋" w:cs="仿宋"/>
          <w:b/>
          <w:bCs w:val="0"/>
          <w:sz w:val="24"/>
          <w:szCs w:val="24"/>
          <w:lang w:val="en-US" w:eastAsia="zh-CN"/>
        </w:rPr>
        <w:t>课程教学</w:t>
      </w:r>
      <w:r>
        <w:rPr>
          <w:rFonts w:hint="eastAsia" w:ascii="仿宋" w:hAnsi="仿宋" w:eastAsia="仿宋" w:cs="仿宋"/>
          <w:bCs/>
          <w:sz w:val="24"/>
          <w:szCs w:val="24"/>
          <w:lang w:val="en-US" w:eastAsia="zh-CN"/>
        </w:rPr>
        <w:t>：</w:t>
      </w:r>
      <w:r>
        <w:rPr>
          <w:rFonts w:hint="eastAsia" w:ascii="仿宋" w:hAnsi="仿宋" w:eastAsia="仿宋" w:cs="仿宋"/>
          <w:color w:val="000000"/>
          <w:sz w:val="24"/>
          <w:szCs w:val="24"/>
        </w:rPr>
        <w:t>本学科现有的课程体系按照一级学科、二级学科和专业方向相结合的原则设置，第一学期的专业基础课程全部按照一级学科设置，全部必修；第二学期的专业方向课程按照二级学科和研究方向设置，每位学生至少选修4门；第三学期的专业选修课全部按照研究方向设置，每位学生至少选修3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课程教学方式有讲授、研讨、案例式教学等，各自所占比例为6:3:1。除课堂授课外，对研究生课后的文献阅读或实践要求的课程比重为20%左右，课后学习的效果通过撰写学年论文和实践报告考核。</w:t>
      </w:r>
    </w:p>
    <w:p>
      <w:pPr>
        <w:spacing w:line="520" w:lineRule="exact"/>
        <w:ind w:firstLine="482" w:firstLineChars="200"/>
        <w:rPr>
          <w:rFonts w:hint="eastAsia" w:ascii="仿宋" w:hAnsi="仿宋" w:eastAsia="仿宋" w:cs="仿宋"/>
          <w:bCs/>
          <w:sz w:val="24"/>
          <w:szCs w:val="24"/>
        </w:rPr>
      </w:pPr>
      <w:r>
        <w:rPr>
          <w:rFonts w:hint="eastAsia" w:ascii="仿宋" w:hAnsi="仿宋" w:eastAsia="仿宋" w:cs="仿宋"/>
          <w:b/>
          <w:bCs w:val="0"/>
          <w:sz w:val="24"/>
          <w:szCs w:val="24"/>
          <w:lang w:val="en-US" w:eastAsia="zh-CN"/>
        </w:rPr>
        <w:t>学术训练</w:t>
      </w:r>
      <w:r>
        <w:rPr>
          <w:rFonts w:hint="eastAsia" w:ascii="仿宋" w:hAnsi="仿宋" w:eastAsia="仿宋" w:cs="仿宋"/>
          <w:bCs/>
          <w:sz w:val="24"/>
          <w:szCs w:val="24"/>
          <w:lang w:val="en-US" w:eastAsia="zh-CN"/>
        </w:rPr>
        <w:t>：为加强对研究生的学术训练，</w:t>
      </w:r>
      <w:r>
        <w:rPr>
          <w:rFonts w:hint="eastAsia" w:ascii="仿宋" w:hAnsi="仿宋" w:eastAsia="仿宋" w:cs="仿宋"/>
          <w:bCs/>
          <w:sz w:val="24"/>
          <w:szCs w:val="24"/>
        </w:rPr>
        <w:t>要求研究生在学期间应进行个人学术报告、文献报告，参加各类学术会议、学术前沿讲座及各种学术论坛、暑期学校等学术活动10次以上并予以记录；完善中期考核及分流淘汰制度，形成有效的研究生培养分流淘汰机制；成立研究生教学指导委员会，健全监督管理制度</w:t>
      </w:r>
      <w:r>
        <w:rPr>
          <w:rFonts w:hint="eastAsia" w:ascii="仿宋" w:hAnsi="仿宋" w:eastAsia="仿宋" w:cs="仿宋"/>
          <w:bCs/>
          <w:sz w:val="24"/>
          <w:szCs w:val="24"/>
          <w:lang w:eastAsia="zh-CN"/>
        </w:rPr>
        <w:t>。</w:t>
      </w:r>
      <w:r>
        <w:rPr>
          <w:rFonts w:hint="eastAsia" w:ascii="仿宋" w:hAnsi="仿宋" w:eastAsia="仿宋" w:cs="仿宋"/>
          <w:bCs/>
          <w:sz w:val="24"/>
          <w:szCs w:val="24"/>
        </w:rPr>
        <w:t>一方面加强研究生学位论文质量监督，从开题、中期考核到学位论文预答辩、答辩，严格把关；另一方面，开展研究生毕业满意度调查，及时收集反馈问题，为全面改善研究生培养质量提供依据。</w:t>
      </w:r>
    </w:p>
    <w:p>
      <w:pPr>
        <w:spacing w:line="520" w:lineRule="exact"/>
        <w:ind w:firstLine="482" w:firstLineChars="200"/>
        <w:rPr>
          <w:rFonts w:hint="eastAsia" w:ascii="仿宋" w:hAnsi="仿宋" w:eastAsia="仿宋" w:cs="仿宋"/>
          <w:color w:val="000000"/>
          <w:sz w:val="24"/>
          <w:szCs w:val="24"/>
        </w:rPr>
      </w:pPr>
      <w:r>
        <w:rPr>
          <w:rFonts w:hint="eastAsia" w:ascii="仿宋" w:hAnsi="仿宋" w:eastAsia="仿宋" w:cs="仿宋"/>
          <w:b/>
          <w:bCs w:val="0"/>
          <w:sz w:val="24"/>
          <w:szCs w:val="24"/>
          <w:lang w:val="en-US" w:eastAsia="zh-CN"/>
        </w:rPr>
        <w:t>学术交流</w:t>
      </w:r>
      <w:r>
        <w:rPr>
          <w:rFonts w:hint="eastAsia" w:ascii="仿宋" w:hAnsi="仿宋" w:eastAsia="仿宋" w:cs="仿宋"/>
          <w:bCs/>
          <w:sz w:val="24"/>
          <w:szCs w:val="24"/>
          <w:lang w:val="en-US" w:eastAsia="zh-CN"/>
        </w:rPr>
        <w:t>：</w:t>
      </w:r>
      <w:r>
        <w:rPr>
          <w:rFonts w:hint="eastAsia" w:ascii="仿宋" w:hAnsi="仿宋" w:eastAsia="仿宋" w:cs="仿宋"/>
          <w:bCs/>
          <w:sz w:val="24"/>
          <w:szCs w:val="24"/>
        </w:rPr>
        <w:t>大力推动“鉴知名家讲坛”、“河汾讲堂”、“鉴知青年工作坊”等论坛建设，邀请国内外学术名家开展讲座，为师生提供高水平学术交流平台。同时专门设立“鉴知研究生论坛”、“文涌读书会”等研究生学术论坛，不断增强研究生的学术交流，激发研究生的创新能力。</w:t>
      </w:r>
      <w:r>
        <w:rPr>
          <w:rFonts w:hint="eastAsia" w:ascii="仿宋" w:hAnsi="仿宋" w:eastAsia="仿宋" w:cs="仿宋"/>
          <w:color w:val="000000"/>
          <w:sz w:val="24"/>
          <w:szCs w:val="24"/>
        </w:rPr>
        <w:t>本学科重视与国内外高等院校及科研单位的学术联系，目前与山西省史志院、</w:t>
      </w:r>
      <w:r>
        <w:rPr>
          <w:rFonts w:hint="eastAsia" w:ascii="仿宋" w:hAnsi="仿宋" w:eastAsia="仿宋" w:cs="仿宋"/>
          <w:color w:val="000000"/>
          <w:sz w:val="24"/>
          <w:szCs w:val="24"/>
          <w:lang w:val="en-US" w:eastAsia="zh-CN"/>
        </w:rPr>
        <w:t>山西省</w:t>
      </w:r>
      <w:r>
        <w:rPr>
          <w:rFonts w:hint="eastAsia" w:ascii="仿宋" w:hAnsi="仿宋" w:eastAsia="仿宋" w:cs="仿宋"/>
          <w:color w:val="000000"/>
          <w:sz w:val="24"/>
          <w:szCs w:val="24"/>
        </w:rPr>
        <w:t>社科院建立了密切的合作关系，共同组织、承担了多项大型的科研项目。本学科多次发起、承办、协办各种有关的国内、国际学术会议，在国内外学术界产生了较大影响。</w:t>
      </w:r>
    </w:p>
    <w:p>
      <w:pPr>
        <w:spacing w:line="520" w:lineRule="exact"/>
        <w:ind w:firstLine="482" w:firstLineChars="200"/>
        <w:rPr>
          <w:rFonts w:hint="eastAsia" w:ascii="仿宋" w:hAnsi="仿宋" w:eastAsia="仿宋" w:cs="仿宋"/>
          <w:sz w:val="24"/>
          <w:szCs w:val="24"/>
        </w:rPr>
      </w:pPr>
      <w:r>
        <w:rPr>
          <w:rFonts w:hint="eastAsia" w:ascii="仿宋" w:hAnsi="仿宋" w:eastAsia="仿宋" w:cs="仿宋"/>
          <w:b/>
          <w:bCs/>
          <w:color w:val="000000"/>
          <w:sz w:val="24"/>
          <w:szCs w:val="24"/>
          <w:lang w:val="en-US" w:eastAsia="zh-CN"/>
        </w:rPr>
        <w:t>论文质量</w:t>
      </w:r>
      <w:r>
        <w:rPr>
          <w:rFonts w:hint="eastAsia" w:ascii="仿宋" w:hAnsi="仿宋" w:eastAsia="仿宋" w:cs="仿宋"/>
          <w:color w:val="000000"/>
          <w:sz w:val="24"/>
          <w:szCs w:val="24"/>
          <w:lang w:val="en-US" w:eastAsia="zh-CN"/>
        </w:rPr>
        <w:t>：</w:t>
      </w:r>
      <w:r>
        <w:rPr>
          <w:rFonts w:hint="eastAsia" w:ascii="仿宋" w:hAnsi="仿宋" w:eastAsia="仿宋" w:cs="仿宋"/>
          <w:sz w:val="24"/>
          <w:szCs w:val="24"/>
        </w:rPr>
        <w:t>论文质量是研究生教育质量的主要指标，本学科在论文质量的把控和提升方面非常重视。第一，严格研究生指导教师负责制，以高素质、高标准、严要求保证研究生培养质量。第二，加强研究生培养的过程管理，要求各学位评定分委会从研究生学位论文选题、开题、中期考核、预答辩等各个环节严格把关。第三，继续加强学位论文双盲评审制度，严格按照《山西大学学位授予工作规定》中学位论文评阅意见处理办法执行。第四，严格论文答辩环节的质量监控。</w:t>
      </w:r>
      <w:r>
        <w:rPr>
          <w:rFonts w:hint="eastAsia" w:ascii="仿宋" w:hAnsi="仿宋" w:eastAsia="仿宋" w:cs="仿宋"/>
          <w:sz w:val="24"/>
          <w:szCs w:val="24"/>
          <w:lang w:val="en-US" w:eastAsia="zh-CN"/>
        </w:rPr>
        <w:t>2020</w:t>
      </w:r>
      <w:r>
        <w:rPr>
          <w:rFonts w:hint="eastAsia" w:ascii="仿宋" w:hAnsi="仿宋" w:eastAsia="仿宋" w:cs="仿宋"/>
          <w:sz w:val="24"/>
          <w:szCs w:val="24"/>
        </w:rPr>
        <w:t>年，在学校的组织下，我院对所有博士和硕士毕业论文进行了外审，全部通过了评审。</w:t>
      </w:r>
    </w:p>
    <w:p>
      <w:pPr>
        <w:spacing w:line="52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学风建设</w:t>
      </w:r>
      <w:r>
        <w:rPr>
          <w:rFonts w:hint="eastAsia" w:ascii="仿宋" w:hAnsi="仿宋" w:eastAsia="仿宋" w:cs="仿宋"/>
          <w:sz w:val="24"/>
          <w:szCs w:val="24"/>
          <w:lang w:val="en-US" w:eastAsia="zh-CN"/>
        </w:rPr>
        <w:t>：</w:t>
      </w:r>
      <w:r>
        <w:rPr>
          <w:rFonts w:hint="eastAsia" w:ascii="仿宋" w:hAnsi="仿宋" w:eastAsia="仿宋" w:cs="仿宋"/>
          <w:sz w:val="24"/>
          <w:szCs w:val="24"/>
        </w:rPr>
        <w:t>定期组织学生学习《山西大学研究生手册》中有关学术规范的文件和制度；组织中国知网“知者行”宣讲报告会；要求全体研究生认真学习研究生学院开设的《学术道德与学术规范》公共选修课。学校对学位申请者的学位论文100%进行学术不端系统论文查重，</w:t>
      </w:r>
      <w:r>
        <w:rPr>
          <w:rFonts w:hint="eastAsia" w:ascii="仿宋" w:hAnsi="仿宋" w:eastAsia="仿宋" w:cs="仿宋"/>
          <w:sz w:val="24"/>
          <w:szCs w:val="24"/>
          <w:lang w:val="en-US" w:eastAsia="zh-CN"/>
        </w:rPr>
        <w:t>2020年</w:t>
      </w:r>
      <w:r>
        <w:rPr>
          <w:rFonts w:hint="eastAsia" w:ascii="仿宋" w:hAnsi="仿宋" w:eastAsia="仿宋" w:cs="仿宋"/>
          <w:sz w:val="24"/>
          <w:szCs w:val="24"/>
        </w:rPr>
        <w:t>本学科学位申请者的论文查重均符合学校规定，没有出现任何学术不端行为。</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管理服务</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学校设立校院二级管理体制，均配备专职工作人员，建立了完善的覆盖研究生培养全过程的管理服务质量保障体系。</w:t>
      </w:r>
      <w:r>
        <w:rPr>
          <w:rFonts w:hint="eastAsia" w:ascii="仿宋" w:hAnsi="仿宋" w:eastAsia="仿宋" w:cs="仿宋"/>
          <w:sz w:val="24"/>
          <w:szCs w:val="24"/>
          <w:lang w:val="en-US" w:eastAsia="zh-CN"/>
        </w:rPr>
        <w:t>学院</w:t>
      </w:r>
      <w:r>
        <w:rPr>
          <w:rFonts w:hint="eastAsia" w:ascii="仿宋" w:hAnsi="仿宋" w:eastAsia="仿宋" w:cs="仿宋"/>
          <w:color w:val="000000"/>
          <w:sz w:val="24"/>
          <w:szCs w:val="24"/>
        </w:rPr>
        <w:t>作为办学主体，负责研究生的具体教学与培养工作。学院专设</w:t>
      </w:r>
      <w:r>
        <w:rPr>
          <w:rFonts w:hint="eastAsia" w:ascii="仿宋" w:hAnsi="仿宋" w:eastAsia="仿宋" w:cs="仿宋"/>
          <w:color w:val="000000"/>
          <w:sz w:val="24"/>
          <w:szCs w:val="24"/>
          <w:lang w:val="en-US" w:eastAsia="zh-CN"/>
        </w:rPr>
        <w:t>科研</w:t>
      </w:r>
      <w:r>
        <w:rPr>
          <w:rFonts w:hint="eastAsia" w:ascii="仿宋" w:hAnsi="仿宋" w:eastAsia="仿宋" w:cs="仿宋"/>
          <w:color w:val="000000"/>
          <w:sz w:val="24"/>
          <w:szCs w:val="24"/>
        </w:rPr>
        <w:t>副院长分管研究生教学</w:t>
      </w:r>
      <w:r>
        <w:rPr>
          <w:rFonts w:hint="eastAsia" w:ascii="仿宋" w:hAnsi="仿宋" w:eastAsia="仿宋" w:cs="仿宋"/>
          <w:color w:val="000000"/>
          <w:sz w:val="24"/>
          <w:szCs w:val="24"/>
          <w:lang w:val="en-US" w:eastAsia="zh-CN"/>
        </w:rPr>
        <w:t>和管理</w:t>
      </w:r>
      <w:r>
        <w:rPr>
          <w:rFonts w:hint="eastAsia" w:ascii="仿宋" w:hAnsi="仿宋" w:eastAsia="仿宋" w:cs="仿宋"/>
          <w:color w:val="000000"/>
          <w:sz w:val="24"/>
          <w:szCs w:val="24"/>
        </w:rPr>
        <w:t>工作，并配备一名教学秘书。本学位点拥有健全且渐成体系的管理制度，研究生日常教学、培养及管理工作严格按照各项管理制度执行。</w:t>
      </w:r>
      <w:r>
        <w:rPr>
          <w:rFonts w:hint="eastAsia" w:ascii="仿宋" w:hAnsi="仿宋" w:eastAsia="仿宋" w:cs="仿宋"/>
          <w:sz w:val="24"/>
          <w:szCs w:val="24"/>
        </w:rPr>
        <w:t>学校作为《学位与研究生教育》期刊杂志社承办的“中国研究生教育满意度调查”成员单位，自2013 年开始连续多年对在学研究生开展“满意度调查”工作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并予以认真反馈</w:t>
      </w:r>
      <w:r>
        <w:rPr>
          <w:rFonts w:hint="eastAsia" w:ascii="仿宋" w:hAnsi="仿宋" w:eastAsia="仿宋" w:cs="仿宋"/>
          <w:sz w:val="24"/>
          <w:szCs w:val="24"/>
          <w:lang w:eastAsia="zh-CN"/>
        </w:rPr>
        <w:t>。</w:t>
      </w:r>
    </w:p>
    <w:p>
      <w:pPr>
        <w:spacing w:line="52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研究生就业发展、社会服务等各方面工作取得的成绩</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学科高度重视研究生就业工作，通过不断调整专业结构、提升人才培养质量，不断夯实学生就业基础，同时，学院深入推进就业指导和帮扶工作，加大就业信息化建设，积极开展创业教育与创业培训，不断推动就业率和就业质量的提高。</w:t>
      </w:r>
    </w:p>
    <w:tbl>
      <w:tblPr>
        <w:tblStyle w:val="6"/>
        <w:tblW w:w="535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74"/>
        <w:gridCol w:w="991"/>
        <w:gridCol w:w="864"/>
        <w:gridCol w:w="1692"/>
        <w:gridCol w:w="711"/>
        <w:gridCol w:w="711"/>
        <w:gridCol w:w="708"/>
        <w:gridCol w:w="718"/>
        <w:gridCol w:w="13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10"/>
            <w:tcBorders>
              <w:top w:val="single" w:color="000000" w:sz="12" w:space="0"/>
              <w:right w:val="single" w:color="auto" w:sz="12" w:space="0"/>
            </w:tcBorders>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2020年</w:t>
            </w:r>
            <w:r>
              <w:rPr>
                <w:rFonts w:hint="eastAsia" w:ascii="仿宋" w:hAnsi="仿宋" w:eastAsia="仿宋" w:cs="仿宋"/>
                <w:b/>
                <w:bCs/>
                <w:kern w:val="0"/>
                <w:sz w:val="24"/>
                <w:szCs w:val="24"/>
              </w:rPr>
              <w:t>就业情况统计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8" w:type="pct"/>
            <w:vMerge w:val="restart"/>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年度</w:t>
            </w:r>
          </w:p>
        </w:tc>
        <w:tc>
          <w:tcPr>
            <w:tcW w:w="369" w:type="pct"/>
            <w:vMerge w:val="restart"/>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学生</w:t>
            </w:r>
          </w:p>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类型</w:t>
            </w:r>
          </w:p>
        </w:tc>
        <w:tc>
          <w:tcPr>
            <w:tcW w:w="542" w:type="pct"/>
            <w:vMerge w:val="restart"/>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毕业生总数</w:t>
            </w:r>
          </w:p>
        </w:tc>
        <w:tc>
          <w:tcPr>
            <w:tcW w:w="473" w:type="pct"/>
            <w:vMerge w:val="restart"/>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授予学位数</w:t>
            </w:r>
          </w:p>
        </w:tc>
        <w:tc>
          <w:tcPr>
            <w:tcW w:w="2486" w:type="pct"/>
            <w:gridSpan w:val="5"/>
            <w:tcBorders>
              <w:top w:val="single" w:color="auto" w:sz="4" w:space="0"/>
              <w:bottom w:val="single" w:color="auto" w:sz="4" w:space="0"/>
              <w:right w:val="single" w:color="auto" w:sz="2"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就业情况</w:t>
            </w:r>
          </w:p>
        </w:tc>
        <w:tc>
          <w:tcPr>
            <w:tcW w:w="729" w:type="pct"/>
            <w:vMerge w:val="restart"/>
            <w:tcBorders>
              <w:top w:val="single" w:color="auto" w:sz="4" w:space="0"/>
              <w:right w:val="single" w:color="auto" w:sz="12"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就业人数及就业率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398" w:type="pct"/>
            <w:vMerge w:val="continue"/>
            <w:vAlign w:val="center"/>
          </w:tcPr>
          <w:p>
            <w:pPr>
              <w:widowControl/>
              <w:jc w:val="center"/>
              <w:rPr>
                <w:rFonts w:hint="eastAsia" w:ascii="仿宋" w:hAnsi="仿宋" w:eastAsia="仿宋" w:cs="仿宋"/>
                <w:b/>
                <w:bCs/>
                <w:sz w:val="24"/>
                <w:szCs w:val="24"/>
              </w:rPr>
            </w:pPr>
          </w:p>
        </w:tc>
        <w:tc>
          <w:tcPr>
            <w:tcW w:w="369" w:type="pct"/>
            <w:vMerge w:val="continue"/>
            <w:vAlign w:val="center"/>
          </w:tcPr>
          <w:p>
            <w:pPr>
              <w:widowControl/>
              <w:jc w:val="center"/>
              <w:rPr>
                <w:rFonts w:hint="eastAsia" w:ascii="仿宋" w:hAnsi="仿宋" w:eastAsia="仿宋" w:cs="仿宋"/>
                <w:b/>
                <w:bCs/>
                <w:sz w:val="24"/>
                <w:szCs w:val="24"/>
              </w:rPr>
            </w:pPr>
          </w:p>
        </w:tc>
        <w:tc>
          <w:tcPr>
            <w:tcW w:w="542" w:type="pct"/>
            <w:vMerge w:val="continue"/>
            <w:vAlign w:val="center"/>
          </w:tcPr>
          <w:p>
            <w:pPr>
              <w:widowControl/>
              <w:ind w:left="-105" w:leftChars="-50"/>
              <w:jc w:val="center"/>
              <w:rPr>
                <w:rFonts w:hint="eastAsia" w:ascii="仿宋" w:hAnsi="仿宋" w:eastAsia="仿宋" w:cs="仿宋"/>
                <w:b/>
                <w:bCs/>
                <w:sz w:val="24"/>
                <w:szCs w:val="24"/>
              </w:rPr>
            </w:pPr>
          </w:p>
        </w:tc>
        <w:tc>
          <w:tcPr>
            <w:tcW w:w="473" w:type="pct"/>
            <w:vMerge w:val="continue"/>
            <w:vAlign w:val="center"/>
          </w:tcPr>
          <w:p>
            <w:pPr>
              <w:jc w:val="center"/>
              <w:rPr>
                <w:rFonts w:hint="eastAsia" w:ascii="仿宋" w:hAnsi="仿宋" w:eastAsia="仿宋" w:cs="仿宋"/>
                <w:b/>
                <w:bCs/>
                <w:sz w:val="24"/>
                <w:szCs w:val="24"/>
              </w:rPr>
            </w:pPr>
          </w:p>
        </w:tc>
        <w:tc>
          <w:tcPr>
            <w:tcW w:w="926" w:type="pct"/>
            <w:vMerge w:val="restart"/>
            <w:tcBorders>
              <w:right w:val="single" w:color="auto" w:sz="4" w:space="0"/>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协议和合同就业（含博士后）</w:t>
            </w:r>
          </w:p>
        </w:tc>
        <w:tc>
          <w:tcPr>
            <w:tcW w:w="389" w:type="pct"/>
            <w:vMerge w:val="restart"/>
            <w:tcBorders>
              <w:right w:val="single" w:color="auto" w:sz="4"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自主创业</w:t>
            </w:r>
          </w:p>
        </w:tc>
        <w:tc>
          <w:tcPr>
            <w:tcW w:w="389" w:type="pct"/>
            <w:vMerge w:val="restart"/>
            <w:tcBorders>
              <w:right w:val="single" w:color="auto" w:sz="4" w:space="0"/>
            </w:tcBorders>
            <w:vAlign w:val="center"/>
          </w:tcPr>
          <w:p>
            <w:pPr>
              <w:widowControl/>
              <w:jc w:val="center"/>
              <w:rPr>
                <w:rFonts w:hint="eastAsia" w:ascii="仿宋" w:hAnsi="仿宋" w:eastAsia="仿宋" w:cs="仿宋"/>
                <w:b/>
                <w:bCs/>
                <w:spacing w:val="-20"/>
                <w:sz w:val="24"/>
                <w:szCs w:val="24"/>
              </w:rPr>
            </w:pPr>
            <w:r>
              <w:rPr>
                <w:rFonts w:hint="eastAsia" w:ascii="仿宋" w:hAnsi="仿宋" w:eastAsia="仿宋" w:cs="仿宋"/>
                <w:b/>
                <w:bCs/>
                <w:sz w:val="24"/>
                <w:szCs w:val="24"/>
              </w:rPr>
              <w:t>灵活就业</w:t>
            </w:r>
          </w:p>
        </w:tc>
        <w:tc>
          <w:tcPr>
            <w:tcW w:w="781" w:type="pct"/>
            <w:gridSpan w:val="2"/>
            <w:tcBorders>
              <w:right w:val="single" w:color="auto" w:sz="4"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升学</w:t>
            </w:r>
          </w:p>
        </w:tc>
        <w:tc>
          <w:tcPr>
            <w:tcW w:w="729" w:type="pct"/>
            <w:vMerge w:val="continue"/>
            <w:tcBorders>
              <w:right w:val="single" w:color="auto" w:sz="12" w:space="0"/>
            </w:tcBorders>
            <w:vAlign w:val="center"/>
          </w:tcPr>
          <w:p>
            <w:pPr>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398" w:type="pct"/>
            <w:vMerge w:val="continue"/>
            <w:vAlign w:val="center"/>
          </w:tcPr>
          <w:p>
            <w:pPr>
              <w:widowControl/>
              <w:jc w:val="center"/>
              <w:rPr>
                <w:rFonts w:hint="eastAsia" w:ascii="仿宋" w:hAnsi="仿宋" w:eastAsia="仿宋" w:cs="仿宋"/>
                <w:b/>
                <w:bCs/>
                <w:sz w:val="24"/>
                <w:szCs w:val="24"/>
              </w:rPr>
            </w:pPr>
          </w:p>
        </w:tc>
        <w:tc>
          <w:tcPr>
            <w:tcW w:w="369" w:type="pct"/>
            <w:vMerge w:val="continue"/>
            <w:vAlign w:val="center"/>
          </w:tcPr>
          <w:p>
            <w:pPr>
              <w:widowControl/>
              <w:jc w:val="center"/>
              <w:rPr>
                <w:rFonts w:hint="eastAsia" w:ascii="仿宋" w:hAnsi="仿宋" w:eastAsia="仿宋" w:cs="仿宋"/>
                <w:b/>
                <w:bCs/>
                <w:sz w:val="24"/>
                <w:szCs w:val="24"/>
              </w:rPr>
            </w:pPr>
          </w:p>
        </w:tc>
        <w:tc>
          <w:tcPr>
            <w:tcW w:w="542" w:type="pct"/>
            <w:vMerge w:val="continue"/>
            <w:vAlign w:val="center"/>
          </w:tcPr>
          <w:p>
            <w:pPr>
              <w:widowControl/>
              <w:jc w:val="center"/>
              <w:rPr>
                <w:rFonts w:hint="eastAsia" w:ascii="仿宋" w:hAnsi="仿宋" w:eastAsia="仿宋" w:cs="仿宋"/>
                <w:b/>
                <w:bCs/>
                <w:sz w:val="24"/>
                <w:szCs w:val="24"/>
              </w:rPr>
            </w:pPr>
          </w:p>
        </w:tc>
        <w:tc>
          <w:tcPr>
            <w:tcW w:w="473" w:type="pct"/>
            <w:vMerge w:val="continue"/>
            <w:vAlign w:val="center"/>
          </w:tcPr>
          <w:p>
            <w:pPr>
              <w:widowControl/>
              <w:jc w:val="center"/>
              <w:rPr>
                <w:rFonts w:hint="eastAsia" w:ascii="仿宋" w:hAnsi="仿宋" w:eastAsia="仿宋" w:cs="仿宋"/>
                <w:b/>
                <w:bCs/>
                <w:sz w:val="24"/>
                <w:szCs w:val="24"/>
              </w:rPr>
            </w:pPr>
          </w:p>
        </w:tc>
        <w:tc>
          <w:tcPr>
            <w:tcW w:w="926" w:type="pct"/>
            <w:vMerge w:val="continue"/>
            <w:vAlign w:val="center"/>
          </w:tcPr>
          <w:p>
            <w:pPr>
              <w:widowControl/>
              <w:jc w:val="center"/>
              <w:rPr>
                <w:rFonts w:hint="eastAsia" w:ascii="仿宋" w:hAnsi="仿宋" w:eastAsia="仿宋" w:cs="仿宋"/>
                <w:b/>
                <w:bCs/>
                <w:sz w:val="24"/>
                <w:szCs w:val="24"/>
              </w:rPr>
            </w:pPr>
          </w:p>
        </w:tc>
        <w:tc>
          <w:tcPr>
            <w:tcW w:w="389" w:type="pct"/>
            <w:vMerge w:val="continue"/>
            <w:vAlign w:val="center"/>
          </w:tcPr>
          <w:p>
            <w:pPr>
              <w:widowControl/>
              <w:jc w:val="center"/>
              <w:rPr>
                <w:rFonts w:hint="eastAsia" w:ascii="仿宋" w:hAnsi="仿宋" w:eastAsia="仿宋" w:cs="仿宋"/>
                <w:b/>
                <w:bCs/>
                <w:sz w:val="24"/>
                <w:szCs w:val="24"/>
              </w:rPr>
            </w:pPr>
          </w:p>
        </w:tc>
        <w:tc>
          <w:tcPr>
            <w:tcW w:w="389" w:type="pct"/>
            <w:vMerge w:val="continue"/>
            <w:tcBorders>
              <w:right w:val="single" w:color="auto" w:sz="4" w:space="0"/>
            </w:tcBorders>
            <w:vAlign w:val="center"/>
          </w:tcPr>
          <w:p>
            <w:pPr>
              <w:widowControl/>
              <w:jc w:val="center"/>
              <w:rPr>
                <w:rFonts w:hint="eastAsia" w:ascii="仿宋" w:hAnsi="仿宋" w:eastAsia="仿宋" w:cs="仿宋"/>
                <w:b/>
                <w:bCs/>
                <w:sz w:val="24"/>
                <w:szCs w:val="24"/>
              </w:rPr>
            </w:pPr>
          </w:p>
        </w:tc>
        <w:tc>
          <w:tcPr>
            <w:tcW w:w="387" w:type="pct"/>
            <w:tcBorders>
              <w:left w:val="single" w:color="auto" w:sz="4" w:space="0"/>
            </w:tcBorders>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境内</w:t>
            </w:r>
          </w:p>
        </w:tc>
        <w:tc>
          <w:tcPr>
            <w:tcW w:w="393" w:type="pct"/>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境外</w:t>
            </w:r>
          </w:p>
        </w:tc>
        <w:tc>
          <w:tcPr>
            <w:tcW w:w="729" w:type="pct"/>
            <w:vMerge w:val="continue"/>
            <w:tcBorders>
              <w:bottom w:val="single" w:color="auto" w:sz="4" w:space="0"/>
              <w:right w:val="single" w:color="auto" w:sz="12" w:space="0"/>
            </w:tcBorders>
            <w:vAlign w:val="center"/>
          </w:tcPr>
          <w:p>
            <w:pPr>
              <w:jc w:val="center"/>
              <w:rPr>
                <w:rFonts w:hint="eastAsia" w:ascii="仿宋" w:hAnsi="仿宋" w:eastAsia="仿宋" w:cs="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8" w:type="pct"/>
            <w:vMerge w:val="restart"/>
            <w:tcBorders>
              <w:top w:val="single" w:color="auto" w:sz="4" w:space="0"/>
            </w:tcBorders>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2020</w:t>
            </w:r>
          </w:p>
        </w:tc>
        <w:tc>
          <w:tcPr>
            <w:tcW w:w="369"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硕士</w:t>
            </w:r>
          </w:p>
        </w:tc>
        <w:tc>
          <w:tcPr>
            <w:tcW w:w="542"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26</w:t>
            </w:r>
          </w:p>
        </w:tc>
        <w:tc>
          <w:tcPr>
            <w:tcW w:w="473"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26</w:t>
            </w:r>
          </w:p>
        </w:tc>
        <w:tc>
          <w:tcPr>
            <w:tcW w:w="926"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19</w:t>
            </w:r>
          </w:p>
        </w:tc>
        <w:tc>
          <w:tcPr>
            <w:tcW w:w="389"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389"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387"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393"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729" w:type="pct"/>
            <w:tcBorders>
              <w:top w:val="single" w:color="auto" w:sz="4" w:space="0"/>
              <w:bottom w:val="single" w:color="auto" w:sz="4"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25（96.2%）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8" w:type="pct"/>
            <w:vMerge w:val="continue"/>
            <w:tcBorders>
              <w:bottom w:val="single" w:color="auto" w:sz="12" w:space="0"/>
            </w:tcBorders>
            <w:vAlign w:val="center"/>
          </w:tcPr>
          <w:p>
            <w:pPr>
              <w:widowControl/>
              <w:jc w:val="center"/>
              <w:rPr>
                <w:rFonts w:hint="eastAsia" w:ascii="仿宋" w:hAnsi="仿宋" w:eastAsia="仿宋" w:cs="仿宋"/>
                <w:color w:val="000000"/>
                <w:kern w:val="0"/>
                <w:sz w:val="24"/>
                <w:szCs w:val="24"/>
              </w:rPr>
            </w:pPr>
          </w:p>
        </w:tc>
        <w:tc>
          <w:tcPr>
            <w:tcW w:w="369"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color w:val="000000"/>
                <w:kern w:val="0"/>
                <w:sz w:val="24"/>
                <w:szCs w:val="24"/>
              </w:rPr>
              <w:t>博士</w:t>
            </w:r>
          </w:p>
        </w:tc>
        <w:tc>
          <w:tcPr>
            <w:tcW w:w="542"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473"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926"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389"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389"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0</w:t>
            </w:r>
          </w:p>
        </w:tc>
        <w:tc>
          <w:tcPr>
            <w:tcW w:w="387"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393"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729" w:type="pct"/>
            <w:tcBorders>
              <w:top w:val="single" w:color="auto" w:sz="4" w:space="0"/>
              <w:bottom w:val="single" w:color="auto" w:sz="12" w:space="0"/>
            </w:tcBorders>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4（100%）</w:t>
            </w:r>
          </w:p>
        </w:tc>
      </w:tr>
    </w:tbl>
    <w:p>
      <w:pPr>
        <w:spacing w:line="52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山西大学中国史学科一直以来就坚持“鉴古知今”的史学传统，密切关注现实，服务地方经济社会发展</w:t>
      </w:r>
      <w:r>
        <w:rPr>
          <w:rFonts w:hint="eastAsia" w:ascii="仿宋" w:hAnsi="仿宋" w:eastAsia="仿宋" w:cs="仿宋"/>
          <w:bCs/>
          <w:sz w:val="24"/>
          <w:szCs w:val="24"/>
          <w:lang w:eastAsia="zh-CN"/>
        </w:rPr>
        <w:t>。</w:t>
      </w:r>
      <w:r>
        <w:rPr>
          <w:rFonts w:hint="eastAsia" w:ascii="仿宋" w:hAnsi="仿宋" w:eastAsia="仿宋" w:cs="仿宋"/>
          <w:bCs/>
          <w:sz w:val="24"/>
          <w:szCs w:val="24"/>
        </w:rPr>
        <w:t>利用山西历史资源特别丰富的地域优势，充分挖掘历史文化资源，古为今用。在“走向田野与社会”的治史理念下，</w:t>
      </w:r>
      <w:r>
        <w:rPr>
          <w:rFonts w:hint="eastAsia" w:ascii="仿宋" w:hAnsi="仿宋" w:eastAsia="仿宋" w:cs="仿宋"/>
          <w:bCs/>
          <w:sz w:val="24"/>
          <w:szCs w:val="24"/>
          <w:lang w:val="en-US" w:eastAsia="zh-CN"/>
        </w:rPr>
        <w:t>不断</w:t>
      </w:r>
      <w:r>
        <w:rPr>
          <w:rFonts w:hint="eastAsia" w:ascii="仿宋" w:hAnsi="仿宋" w:eastAsia="仿宋" w:cs="仿宋"/>
          <w:bCs/>
          <w:sz w:val="24"/>
          <w:szCs w:val="24"/>
        </w:rPr>
        <w:t>开拓出新的研究领域</w:t>
      </w:r>
      <w:r>
        <w:rPr>
          <w:rFonts w:hint="eastAsia" w:ascii="仿宋" w:hAnsi="仿宋" w:eastAsia="仿宋" w:cs="仿宋"/>
          <w:bCs/>
          <w:sz w:val="24"/>
          <w:szCs w:val="24"/>
          <w:lang w:eastAsia="zh-CN"/>
        </w:rPr>
        <w:t>。</w:t>
      </w:r>
      <w:r>
        <w:rPr>
          <w:rFonts w:hint="eastAsia" w:ascii="仿宋" w:hAnsi="仿宋" w:eastAsia="仿宋" w:cs="仿宋"/>
          <w:bCs/>
          <w:sz w:val="24"/>
          <w:szCs w:val="24"/>
        </w:rPr>
        <w:t>作为对接地方文旅产业的智力支撑团队，山西大学中国史学科整合考古学、旅游管理等学科组建了</w:t>
      </w:r>
      <w:r>
        <w:rPr>
          <w:rFonts w:hint="eastAsia" w:ascii="仿宋" w:hAnsi="仿宋" w:eastAsia="仿宋" w:cs="仿宋"/>
          <w:bCs/>
          <w:sz w:val="24"/>
          <w:szCs w:val="24"/>
          <w:lang w:eastAsia="zh-CN"/>
        </w:rPr>
        <w:t>“</w:t>
      </w:r>
      <w:r>
        <w:rPr>
          <w:rFonts w:hint="eastAsia" w:ascii="仿宋" w:hAnsi="仿宋" w:eastAsia="仿宋" w:cs="仿宋"/>
          <w:bCs/>
          <w:sz w:val="24"/>
          <w:szCs w:val="24"/>
        </w:rPr>
        <w:t>文旅产业研究平台</w:t>
      </w:r>
      <w:r>
        <w:rPr>
          <w:rFonts w:hint="eastAsia" w:ascii="仿宋" w:hAnsi="仿宋" w:eastAsia="仿宋" w:cs="仿宋"/>
          <w:bCs/>
          <w:sz w:val="24"/>
          <w:szCs w:val="24"/>
          <w:lang w:eastAsia="zh-CN"/>
        </w:rPr>
        <w:t>”</w:t>
      </w:r>
      <w:r>
        <w:rPr>
          <w:rFonts w:hint="eastAsia" w:ascii="仿宋" w:hAnsi="仿宋" w:eastAsia="仿宋" w:cs="仿宋"/>
          <w:bCs/>
          <w:sz w:val="24"/>
          <w:szCs w:val="24"/>
        </w:rPr>
        <w:t>。在学术普及和</w:t>
      </w:r>
      <w:r>
        <w:rPr>
          <w:rFonts w:hint="eastAsia" w:ascii="仿宋" w:hAnsi="仿宋" w:eastAsia="仿宋" w:cs="仿宋"/>
          <w:bCs/>
          <w:sz w:val="24"/>
          <w:szCs w:val="24"/>
          <w:lang w:val="en-US" w:eastAsia="zh-CN"/>
        </w:rPr>
        <w:t>学术</w:t>
      </w:r>
      <w:r>
        <w:rPr>
          <w:rFonts w:hint="eastAsia" w:ascii="仿宋" w:hAnsi="仿宋" w:eastAsia="仿宋" w:cs="仿宋"/>
          <w:bCs/>
          <w:sz w:val="24"/>
          <w:szCs w:val="24"/>
        </w:rPr>
        <w:t>交流方面，创办了《社会史研究》集刊；举办了若干学术会议、学术论坛、研修班、学术沙龙、学术工作坊等，扩大了学术影响</w:t>
      </w:r>
      <w:r>
        <w:rPr>
          <w:rFonts w:hint="eastAsia" w:ascii="仿宋" w:hAnsi="仿宋" w:eastAsia="仿宋" w:cs="仿宋"/>
          <w:bCs/>
          <w:sz w:val="24"/>
          <w:szCs w:val="24"/>
          <w:lang w:eastAsia="zh-CN"/>
        </w:rPr>
        <w:t>。</w:t>
      </w:r>
      <w:r>
        <w:rPr>
          <w:rFonts w:hint="eastAsia" w:ascii="仿宋" w:hAnsi="仿宋" w:eastAsia="仿宋" w:cs="仿宋"/>
          <w:bCs/>
          <w:sz w:val="24"/>
          <w:szCs w:val="24"/>
        </w:rPr>
        <w:t>充分利用山西省省级爱国主义教育基地“集体化时代的农村社会综合展馆”进行爱国主义教育。</w:t>
      </w:r>
    </w:p>
    <w:p>
      <w:pPr>
        <w:spacing w:line="52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三、学位授权点建设存在的问题</w:t>
      </w:r>
    </w:p>
    <w:p>
      <w:pPr>
        <w:snapToGrid w:val="0"/>
        <w:spacing w:line="5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2020年中国史学科建设在各方面均取得了明显的进步，但也还存在明显的不足：</w:t>
      </w:r>
    </w:p>
    <w:p>
      <w:pPr>
        <w:snapToGrid w:val="0"/>
        <w:spacing w:line="5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中国史</w:t>
      </w:r>
      <w:r>
        <w:rPr>
          <w:rFonts w:hint="eastAsia" w:ascii="仿宋" w:hAnsi="仿宋" w:eastAsia="仿宋" w:cs="仿宋"/>
          <w:sz w:val="24"/>
          <w:szCs w:val="24"/>
          <w:lang w:val="en-US" w:eastAsia="zh-CN"/>
        </w:rPr>
        <w:t>学科</w:t>
      </w:r>
      <w:r>
        <w:rPr>
          <w:rFonts w:hint="eastAsia" w:ascii="仿宋" w:hAnsi="仿宋" w:eastAsia="仿宋" w:cs="仿宋"/>
          <w:sz w:val="24"/>
          <w:szCs w:val="24"/>
        </w:rPr>
        <w:t>高层次领军人才</w:t>
      </w:r>
      <w:r>
        <w:rPr>
          <w:rFonts w:hint="eastAsia" w:ascii="仿宋" w:hAnsi="仿宋" w:eastAsia="仿宋" w:cs="仿宋"/>
          <w:sz w:val="24"/>
          <w:szCs w:val="24"/>
          <w:lang w:val="en-US" w:eastAsia="zh-CN"/>
        </w:rPr>
        <w:t>不多</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重大标志性成果不多，整体科研实力不够彰显。</w:t>
      </w:r>
    </w:p>
    <w:p>
      <w:pPr>
        <w:snapToGrid w:val="0"/>
        <w:spacing w:line="5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2.中国史学科建设</w:t>
      </w:r>
      <w:r>
        <w:rPr>
          <w:rFonts w:hint="eastAsia" w:ascii="仿宋" w:hAnsi="仿宋" w:eastAsia="仿宋" w:cs="仿宋"/>
          <w:sz w:val="24"/>
          <w:szCs w:val="24"/>
        </w:rPr>
        <w:t>经费不足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各方面建设均捉襟见肘，尤其在学生的国际化培养方面，举步维艰。</w:t>
      </w:r>
    </w:p>
    <w:p>
      <w:pPr>
        <w:snapToGrid w:val="0"/>
        <w:spacing w:line="520" w:lineRule="exact"/>
        <w:ind w:firstLine="480" w:firstLineChars="200"/>
        <w:rPr>
          <w:rFonts w:hint="eastAsia" w:ascii="仿宋" w:hAnsi="仿宋" w:eastAsia="仿宋" w:cs="仿宋"/>
          <w:sz w:val="24"/>
          <w:szCs w:val="24"/>
          <w:lang w:val="en-US"/>
        </w:rPr>
      </w:pPr>
      <w:r>
        <w:rPr>
          <w:rFonts w:hint="eastAsia" w:ascii="仿宋" w:hAnsi="仿宋" w:eastAsia="仿宋" w:cs="仿宋"/>
          <w:sz w:val="24"/>
          <w:szCs w:val="24"/>
          <w:lang w:val="en-US" w:eastAsia="zh-CN"/>
        </w:rPr>
        <w:t>3.中国史学科建设与地方社会经济建设结合不够，一方面降低了服务社会的能力，一方面影响了学术增长点的开拓。</w:t>
      </w:r>
    </w:p>
    <w:p>
      <w:pPr>
        <w:snapToGrid w:val="0"/>
        <w:spacing w:line="52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四、2021年学位授权点建设计划</w:t>
      </w:r>
    </w:p>
    <w:p>
      <w:pPr>
        <w:snapToGrid w:val="0"/>
        <w:spacing w:line="52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1.发展目标</w:t>
      </w:r>
    </w:p>
    <w:p>
      <w:pPr>
        <w:snapToGrid w:val="0"/>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（1）进一步壮大教师队伍，202</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年教师总数</w:t>
      </w:r>
      <w:r>
        <w:rPr>
          <w:rFonts w:hint="eastAsia" w:ascii="仿宋" w:hAnsi="仿宋" w:eastAsia="仿宋" w:cs="仿宋"/>
          <w:color w:val="000000"/>
          <w:sz w:val="24"/>
          <w:szCs w:val="24"/>
          <w:lang w:val="en-US" w:eastAsia="zh-CN"/>
        </w:rPr>
        <w:t>力争</w:t>
      </w:r>
      <w:r>
        <w:rPr>
          <w:rFonts w:hint="eastAsia" w:ascii="仿宋" w:hAnsi="仿宋" w:eastAsia="仿宋" w:cs="仿宋"/>
          <w:color w:val="000000"/>
          <w:sz w:val="24"/>
          <w:szCs w:val="24"/>
        </w:rPr>
        <w:t>达到</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0人左右。</w:t>
      </w:r>
      <w:r>
        <w:rPr>
          <w:rFonts w:hint="eastAsia" w:ascii="仿宋" w:hAnsi="仿宋" w:eastAsia="仿宋" w:cs="仿宋"/>
          <w:color w:val="000000"/>
          <w:sz w:val="24"/>
          <w:szCs w:val="24"/>
          <w:lang w:val="en-US" w:eastAsia="zh-CN"/>
        </w:rPr>
        <w:t>进一步</w:t>
      </w:r>
      <w:r>
        <w:rPr>
          <w:rFonts w:hint="eastAsia" w:ascii="仿宋" w:hAnsi="仿宋" w:eastAsia="仿宋" w:cs="仿宋"/>
          <w:color w:val="000000"/>
          <w:sz w:val="24"/>
          <w:szCs w:val="24"/>
        </w:rPr>
        <w:t>凝练科研方向</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在此基础上，争取1-2项国家社科基金重大招标项目，争取2-3项国家社科基金重点项目。</w:t>
      </w:r>
    </w:p>
    <w:p>
      <w:pPr>
        <w:snapToGrid w:val="0"/>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）积极参与山西地方社会经济建设，积极为省委、省政府提供咨询报告和建议，打造新型文化旅游智库平台，</w:t>
      </w:r>
      <w:r>
        <w:rPr>
          <w:rFonts w:hint="eastAsia" w:ascii="仿宋" w:hAnsi="仿宋" w:eastAsia="仿宋" w:cs="仿宋"/>
          <w:color w:val="000000"/>
          <w:sz w:val="24"/>
          <w:szCs w:val="24"/>
          <w:lang w:val="en-US" w:eastAsia="zh-CN"/>
        </w:rPr>
        <w:t>服务地方社会，</w:t>
      </w:r>
      <w:r>
        <w:rPr>
          <w:rFonts w:hint="eastAsia" w:ascii="仿宋" w:hAnsi="仿宋" w:eastAsia="仿宋" w:cs="仿宋"/>
          <w:color w:val="000000"/>
          <w:sz w:val="24"/>
          <w:szCs w:val="24"/>
        </w:rPr>
        <w:t>提升学科影响</w:t>
      </w:r>
      <w:r>
        <w:rPr>
          <w:rFonts w:hint="eastAsia" w:ascii="仿宋" w:hAnsi="仿宋" w:eastAsia="仿宋" w:cs="仿宋"/>
          <w:color w:val="000000"/>
          <w:sz w:val="24"/>
          <w:szCs w:val="24"/>
          <w:lang w:val="en-US" w:eastAsia="zh-CN"/>
        </w:rPr>
        <w:t>力</w:t>
      </w:r>
      <w:r>
        <w:rPr>
          <w:rFonts w:hint="eastAsia" w:ascii="仿宋" w:hAnsi="仿宋" w:eastAsia="仿宋" w:cs="仿宋"/>
          <w:color w:val="000000"/>
          <w:sz w:val="24"/>
          <w:szCs w:val="24"/>
        </w:rPr>
        <w:t>。</w:t>
      </w:r>
    </w:p>
    <w:p>
      <w:pPr>
        <w:snapToGrid w:val="0"/>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力争在</w:t>
      </w:r>
      <w:r>
        <w:rPr>
          <w:rFonts w:hint="eastAsia" w:ascii="仿宋" w:hAnsi="仿宋" w:eastAsia="仿宋" w:cs="仿宋"/>
          <w:color w:val="000000"/>
          <w:sz w:val="24"/>
          <w:szCs w:val="24"/>
        </w:rPr>
        <w:t>国际交流、合作办学</w:t>
      </w:r>
      <w:r>
        <w:rPr>
          <w:rFonts w:hint="eastAsia" w:ascii="仿宋" w:hAnsi="仿宋" w:eastAsia="仿宋" w:cs="仿宋"/>
          <w:color w:val="000000"/>
          <w:sz w:val="24"/>
          <w:szCs w:val="24"/>
          <w:lang w:val="en-US" w:eastAsia="zh-CN"/>
        </w:rPr>
        <w:t>上</w:t>
      </w:r>
      <w:r>
        <w:rPr>
          <w:rFonts w:hint="eastAsia" w:ascii="仿宋" w:hAnsi="仿宋" w:eastAsia="仿宋" w:cs="仿宋"/>
          <w:color w:val="000000"/>
          <w:sz w:val="24"/>
          <w:szCs w:val="24"/>
        </w:rPr>
        <w:t>有新突破，与1-2所国外著名高校建立合作关系，不断提升学科的国际化水平</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进一步提升人才培养的质量</w:t>
      </w:r>
      <w:r>
        <w:rPr>
          <w:rFonts w:hint="eastAsia" w:ascii="仿宋" w:hAnsi="仿宋" w:eastAsia="仿宋" w:cs="仿宋"/>
          <w:color w:val="000000"/>
          <w:sz w:val="24"/>
          <w:szCs w:val="24"/>
        </w:rPr>
        <w:t>。</w:t>
      </w:r>
    </w:p>
    <w:p>
      <w:pPr>
        <w:snapToGrid w:val="0"/>
        <w:spacing w:line="52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2.保障措施</w:t>
      </w:r>
    </w:p>
    <w:p>
      <w:pPr>
        <w:snapToGrid w:val="0"/>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积极引进和培养高层次领军人才，充分挖掘每位教师的科研潜力，按照相应职称与每位教师签订目标任务书，制定实质性的奖惩措施。设置专项教师成长基金，每年重点支持2-3名青年教师，每年择优支持3-5项国家项目后备项目。引进3-4名有影响力的学科带头人，支持青年教师脱颖而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争取实现科研水平的明显提升</w:t>
      </w:r>
      <w:r>
        <w:rPr>
          <w:rFonts w:hint="eastAsia" w:ascii="仿宋" w:hAnsi="仿宋" w:eastAsia="仿宋" w:cs="仿宋"/>
          <w:color w:val="000000"/>
          <w:sz w:val="24"/>
          <w:szCs w:val="24"/>
        </w:rPr>
        <w:t>。</w:t>
      </w:r>
    </w:p>
    <w:p>
      <w:pPr>
        <w:snapToGrid w:val="0"/>
        <w:spacing w:line="52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与考古、旅游等学科联合建设“文化旅游智库”，承接地方重大规划项目，不断提高服务地方社会的能力和水平。平台建设方面，进一步</w:t>
      </w:r>
      <w:r>
        <w:rPr>
          <w:rFonts w:hint="eastAsia" w:ascii="仿宋" w:hAnsi="仿宋" w:eastAsia="仿宋" w:cs="仿宋"/>
          <w:color w:val="000000"/>
          <w:sz w:val="24"/>
          <w:szCs w:val="24"/>
        </w:rPr>
        <w:t>加大山西地方文献的建设力度，鼓励教师以所收集民间文献为基础开展研究，争取在三年内建成国内一流的地方文献资料中心和研究中心。</w:t>
      </w:r>
    </w:p>
    <w:p>
      <w:pPr>
        <w:snapToGrid w:val="0"/>
        <w:spacing w:line="52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积极与国内外高校和科研单位联系，建立稳定的合作关系。千方百计争取经费支持，设置中国史学科研究生国内外交流奖学金。进一步完善研究生合作培养的相关管理配套制度，为不断提高研究生培养的国际化水平提供便利条件和制度保障。</w:t>
      </w:r>
    </w:p>
    <w:p>
      <w:pPr>
        <w:snapToGrid w:val="0"/>
        <w:spacing w:line="520" w:lineRule="exact"/>
        <w:ind w:firstLine="480" w:firstLineChars="200"/>
        <w:rPr>
          <w:rFonts w:hint="eastAsia" w:ascii="仿宋" w:hAnsi="仿宋" w:eastAsia="仿宋" w:cs="仿宋"/>
          <w:color w:val="000000"/>
          <w:sz w:val="24"/>
          <w:szCs w:val="24"/>
          <w:lang w:val="en-US" w:eastAsia="zh-CN"/>
        </w:rPr>
      </w:pPr>
    </w:p>
    <w:p>
      <w:pPr>
        <w:snapToGrid w:val="0"/>
        <w:spacing w:line="520" w:lineRule="exact"/>
        <w:ind w:firstLine="480" w:firstLineChars="200"/>
        <w:rPr>
          <w:rFonts w:hint="eastAsia" w:ascii="仿宋" w:hAnsi="仿宋" w:eastAsia="仿宋" w:cs="仿宋"/>
          <w:color w:val="000000"/>
          <w:sz w:val="24"/>
          <w:szCs w:val="24"/>
          <w:lang w:val="en-US" w:eastAsia="zh-CN"/>
        </w:rPr>
      </w:pPr>
    </w:p>
    <w:p>
      <w:pPr>
        <w:snapToGrid w:val="0"/>
        <w:spacing w:line="520" w:lineRule="exact"/>
        <w:ind w:firstLine="480" w:firstLineChars="200"/>
        <w:rPr>
          <w:rFonts w:hint="eastAsia" w:ascii="仿宋" w:hAnsi="仿宋" w:eastAsia="仿宋" w:cs="仿宋"/>
          <w:color w:val="000000"/>
          <w:sz w:val="24"/>
          <w:szCs w:val="24"/>
          <w:lang w:val="en-US" w:eastAsia="zh-CN"/>
        </w:rPr>
      </w:pPr>
    </w:p>
    <w:p>
      <w:pPr>
        <w:snapToGrid w:val="0"/>
        <w:spacing w:line="520" w:lineRule="exact"/>
        <w:ind w:firstLine="480" w:firstLineChars="200"/>
        <w:rPr>
          <w:rFonts w:hint="eastAsia" w:ascii="仿宋" w:hAnsi="仿宋" w:eastAsia="仿宋" w:cs="仿宋"/>
          <w:sz w:val="24"/>
          <w:szCs w:val="24"/>
        </w:rPr>
      </w:pPr>
    </w:p>
    <w:p>
      <w:pPr>
        <w:snapToGrid w:val="0"/>
        <w:spacing w:line="520" w:lineRule="exact"/>
        <w:ind w:firstLine="6480" w:firstLineChars="2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中国史学科</w:t>
      </w:r>
    </w:p>
    <w:p>
      <w:pPr>
        <w:snapToGrid w:val="0"/>
        <w:spacing w:line="520" w:lineRule="exact"/>
        <w:ind w:firstLine="6480" w:firstLineChars="2700"/>
        <w:rPr>
          <w:rFonts w:hint="eastAsia" w:ascii="仿宋" w:hAnsi="仿宋" w:eastAsia="仿宋" w:cs="仿宋"/>
          <w:sz w:val="24"/>
          <w:szCs w:val="24"/>
          <w:lang w:val="en-US" w:eastAsia="zh-CN"/>
        </w:rPr>
      </w:pPr>
    </w:p>
    <w:p>
      <w:pPr>
        <w:snapToGrid w:val="0"/>
        <w:spacing w:line="520" w:lineRule="exact"/>
        <w:ind w:firstLine="6720" w:firstLineChars="2800"/>
        <w:rPr>
          <w:rFonts w:hint="eastAsia" w:ascii="仿宋" w:hAnsi="仿宋" w:eastAsia="仿宋" w:cs="仿宋"/>
          <w:sz w:val="24"/>
          <w:szCs w:val="24"/>
          <w:lang w:val="en-US" w:eastAsia="zh-CN"/>
        </w:rPr>
      </w:pPr>
      <w:bookmarkStart w:id="0" w:name="_GoBack"/>
      <w:bookmarkEnd w:id="0"/>
      <w:r>
        <w:rPr>
          <w:rFonts w:hint="eastAsia" w:ascii="仿宋" w:hAnsi="仿宋" w:eastAsia="仿宋" w:cs="仿宋"/>
          <w:sz w:val="24"/>
          <w:szCs w:val="24"/>
          <w:lang w:val="en-US" w:eastAsia="zh-CN"/>
        </w:rPr>
        <w:t>2021.3.15</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ODE1NTBjYmZkNDMyNzEyZTBiN2M2YmYyZGZlNGQifQ=="/>
  </w:docVars>
  <w:rsids>
    <w:rsidRoot w:val="006D4E7A"/>
    <w:rsid w:val="000D1BE2"/>
    <w:rsid w:val="001602AE"/>
    <w:rsid w:val="001F08B5"/>
    <w:rsid w:val="00303EF9"/>
    <w:rsid w:val="003F06C5"/>
    <w:rsid w:val="004B4B68"/>
    <w:rsid w:val="004E64ED"/>
    <w:rsid w:val="005724CE"/>
    <w:rsid w:val="0065518C"/>
    <w:rsid w:val="006D4E7A"/>
    <w:rsid w:val="007B183F"/>
    <w:rsid w:val="007C1247"/>
    <w:rsid w:val="00837834"/>
    <w:rsid w:val="00B70BB8"/>
    <w:rsid w:val="00C53241"/>
    <w:rsid w:val="00D2029C"/>
    <w:rsid w:val="00E747C7"/>
    <w:rsid w:val="00EB7165"/>
    <w:rsid w:val="00F64B36"/>
    <w:rsid w:val="00FE6713"/>
    <w:rsid w:val="04133812"/>
    <w:rsid w:val="04752BF5"/>
    <w:rsid w:val="05171689"/>
    <w:rsid w:val="056D2D72"/>
    <w:rsid w:val="07F65EF8"/>
    <w:rsid w:val="0E690280"/>
    <w:rsid w:val="0F981174"/>
    <w:rsid w:val="11452D11"/>
    <w:rsid w:val="12D90E8B"/>
    <w:rsid w:val="12FF4286"/>
    <w:rsid w:val="133D2E15"/>
    <w:rsid w:val="17161581"/>
    <w:rsid w:val="18347C85"/>
    <w:rsid w:val="19AB54B7"/>
    <w:rsid w:val="1A966B40"/>
    <w:rsid w:val="1C907B8C"/>
    <w:rsid w:val="1DE563ED"/>
    <w:rsid w:val="1F954CD1"/>
    <w:rsid w:val="1F9E28A2"/>
    <w:rsid w:val="20107B57"/>
    <w:rsid w:val="25745DA5"/>
    <w:rsid w:val="278F652A"/>
    <w:rsid w:val="2A525AF5"/>
    <w:rsid w:val="2A540ABF"/>
    <w:rsid w:val="2B761276"/>
    <w:rsid w:val="2DCB65E7"/>
    <w:rsid w:val="32D97F23"/>
    <w:rsid w:val="36B92BCD"/>
    <w:rsid w:val="3CFF25D3"/>
    <w:rsid w:val="3D891A59"/>
    <w:rsid w:val="3E1B5D55"/>
    <w:rsid w:val="4443084C"/>
    <w:rsid w:val="45A361F2"/>
    <w:rsid w:val="47122B48"/>
    <w:rsid w:val="4A751F20"/>
    <w:rsid w:val="4ABF048E"/>
    <w:rsid w:val="4CC11CEA"/>
    <w:rsid w:val="4E762BA8"/>
    <w:rsid w:val="4EBC12E0"/>
    <w:rsid w:val="4F717FB4"/>
    <w:rsid w:val="4FC160DE"/>
    <w:rsid w:val="502B02BC"/>
    <w:rsid w:val="5622411F"/>
    <w:rsid w:val="563272CF"/>
    <w:rsid w:val="58C2535C"/>
    <w:rsid w:val="58D06E21"/>
    <w:rsid w:val="5F786225"/>
    <w:rsid w:val="5F82320B"/>
    <w:rsid w:val="5FD51BEC"/>
    <w:rsid w:val="61A7418E"/>
    <w:rsid w:val="64FF4E5F"/>
    <w:rsid w:val="66E66C68"/>
    <w:rsid w:val="675B1D25"/>
    <w:rsid w:val="6FEC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qFormat/>
    <w:uiPriority w:val="0"/>
    <w:rPr>
      <w:rFonts w:ascii="Times New Roman" w:hAnsi="Times New Roman" w:eastAsia="宋体" w:cs="Times New Roman"/>
      <w:color w:val="800080"/>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中等深浅列表 2 - 着色 2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5268</Words>
  <Characters>5435</Characters>
  <Lines>1</Lines>
  <Paragraphs>1</Paragraphs>
  <TotalTime>25</TotalTime>
  <ScaleCrop>false</ScaleCrop>
  <LinksUpToDate>false</LinksUpToDate>
  <CharactersWithSpaces>5436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2021-03-05T01:27:00Z</dcterms:created>
  <dc:creator>Hewlett-Packard Company</dc:creator>
  <cp:lastModifiedBy>历史系辅导员</cp:lastModifiedBy>
  <dcterms:modified xsi:type="dcterms:W3CDTF">2023-09-04T02:43:06Z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E93F11E1E58C4B55A2BBAA83B86C4928</vt:lpwstr>
  </property>
</Properties>
</file>